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68FC" w14:textId="615F5097" w:rsidR="00975A9B" w:rsidRPr="00F32825" w:rsidRDefault="00975A9B" w:rsidP="00975A9B">
      <w:pPr>
        <w:pStyle w:val="Title"/>
        <w:rPr>
          <w:b/>
          <w:bCs/>
          <w:color w:val="2F5496" w:themeColor="accent1" w:themeShade="BF"/>
          <w:sz w:val="32"/>
          <w:szCs w:val="32"/>
        </w:rPr>
      </w:pPr>
      <w:r w:rsidRPr="00F32825">
        <w:rPr>
          <w:b/>
          <w:bCs/>
          <w:color w:val="2F5496" w:themeColor="accent1" w:themeShade="BF"/>
          <w:sz w:val="32"/>
          <w:szCs w:val="32"/>
        </w:rPr>
        <w:t>Newport Core Transition Team M</w:t>
      </w:r>
      <w:r w:rsidR="00894C3D" w:rsidRPr="00F32825">
        <w:rPr>
          <w:b/>
          <w:bCs/>
          <w:color w:val="2F5496" w:themeColor="accent1" w:themeShade="BF"/>
          <w:sz w:val="32"/>
          <w:szCs w:val="32"/>
        </w:rPr>
        <w:t>eeting Minutes</w:t>
      </w:r>
    </w:p>
    <w:p w14:paraId="2159459E" w14:textId="6914528D" w:rsidR="00975A9B" w:rsidRDefault="00B73F57" w:rsidP="00975A9B">
      <w:pPr>
        <w:pStyle w:val="Heading2"/>
      </w:pPr>
      <w:r>
        <w:rPr>
          <w:color w:val="2F5496" w:themeColor="accent1" w:themeShade="BF"/>
        </w:rPr>
        <w:t>12/16/2025</w:t>
      </w:r>
      <w:r w:rsidR="004949A1">
        <w:rPr>
          <w:color w:val="2F5496" w:themeColor="accent1" w:themeShade="BF"/>
        </w:rPr>
        <w:t>)</w:t>
      </w:r>
      <w:r w:rsidR="00975A9B" w:rsidRPr="004453F0">
        <w:rPr>
          <w:rStyle w:val="SubtleEmphasis"/>
          <w:color w:val="2F5496" w:themeColor="accent1" w:themeShade="BF"/>
        </w:rPr>
        <w:t xml:space="preserve"> | </w:t>
      </w:r>
      <w:r w:rsidR="00975A9B" w:rsidRPr="004453F0">
        <w:rPr>
          <w:rStyle w:val="SubtleEmphasis"/>
        </w:rPr>
        <w:t>1</w:t>
      </w:r>
      <w:r>
        <w:rPr>
          <w:rStyle w:val="SubtleEmphasis"/>
        </w:rPr>
        <w:t>1:0</w:t>
      </w:r>
      <w:r w:rsidR="00DD55A9">
        <w:rPr>
          <w:rStyle w:val="SubtleEmphasis"/>
        </w:rPr>
        <w:t>0</w:t>
      </w:r>
      <w:r w:rsidR="00975A9B" w:rsidRPr="004453F0">
        <w:rPr>
          <w:rStyle w:val="SubtleEmphasis"/>
        </w:rPr>
        <w:t xml:space="preserve"> a.m</w:t>
      </w:r>
      <w:r w:rsidR="00975A9B" w:rsidRPr="004453F0">
        <w:rPr>
          <w:rStyle w:val="SubtleEmphasis"/>
          <w:color w:val="2F5496" w:themeColor="accent1" w:themeShade="BF"/>
        </w:rPr>
        <w:t>.</w:t>
      </w:r>
      <w:r w:rsidR="00975A9B" w:rsidRPr="004453F0">
        <w:rPr>
          <w:color w:val="2F5496" w:themeColor="accent1" w:themeShade="BF"/>
        </w:rPr>
        <w:t xml:space="preserve"> | Hybrid Meeting: </w:t>
      </w:r>
      <w:r w:rsidR="00975A9B" w:rsidRPr="004453F0">
        <w:rPr>
          <w:color w:val="auto"/>
        </w:rPr>
        <w:t xml:space="preserve">In-Person at NCCC Rm 380 &amp; Virtual via Zoom </w:t>
      </w:r>
      <w:sdt>
        <w:sdtPr>
          <w:rPr>
            <w:rStyle w:val="SubtleEmphasis"/>
          </w:rPr>
          <w:alias w:val="Enter location:"/>
          <w:tag w:val="Enter location:"/>
          <w:id w:val="465398058"/>
          <w:placeholder>
            <w:docPart w:val="E9DB1401A0454FCDBC79D99CF5F3BB80"/>
          </w:placeholder>
          <w15:appearance w15:val="hidden"/>
        </w:sdtPr>
        <w:sdtEndPr>
          <w:rPr>
            <w:rStyle w:val="DefaultParagraphFont"/>
            <w:i w:val="0"/>
            <w:iCs w:val="0"/>
            <w:color w:val="ED7D31" w:themeColor="accent2"/>
          </w:rPr>
        </w:sdtEndPr>
        <w:sdtContent>
          <w:r w:rsidR="00975A9B">
            <w:rPr>
              <w:rStyle w:val="SubtleEmphasis"/>
            </w:rPr>
            <w:t xml:space="preserve"> 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information layout table"/>
      </w:tblPr>
      <w:tblGrid>
        <w:gridCol w:w="5400"/>
        <w:gridCol w:w="5400"/>
      </w:tblGrid>
      <w:tr w:rsidR="00975A9B" w14:paraId="28A7B181" w14:textId="77777777" w:rsidTr="00547BCA">
        <w:tc>
          <w:tcPr>
            <w:tcW w:w="5400" w:type="dxa"/>
          </w:tcPr>
          <w:tbl>
            <w:tblPr>
              <w:tblW w:w="5390" w:type="dxa"/>
              <w:tblInd w:w="1" w:type="dxa"/>
              <w:tblBorders>
                <w:left w:val="single" w:sz="4" w:space="0" w:color="ED7D31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 for person calling meeting, type of meeting, facilitator, note taker, and timekeeper"/>
            </w:tblPr>
            <w:tblGrid>
              <w:gridCol w:w="1259"/>
              <w:gridCol w:w="4131"/>
            </w:tblGrid>
            <w:tr w:rsidR="00975A9B" w14:paraId="3791D785" w14:textId="77777777" w:rsidTr="00AD3F55">
              <w:tc>
                <w:tcPr>
                  <w:tcW w:w="1259" w:type="dxa"/>
                  <w:tcBorders>
                    <w:left w:val="nil"/>
                  </w:tcBorders>
                </w:tcPr>
                <w:p w14:paraId="7D991503" w14:textId="77777777" w:rsidR="00975A9B" w:rsidRPr="00A979E1" w:rsidRDefault="00564E07" w:rsidP="00547BCA">
                  <w:pPr>
                    <w:pStyle w:val="Heading3"/>
                  </w:pPr>
                  <w:sdt>
                    <w:sdtPr>
                      <w:alias w:val="Type of meeting:"/>
                      <w:tag w:val="Type of meeting:"/>
                      <w:id w:val="1356456911"/>
                      <w:placeholder>
                        <w:docPart w:val="3A25AA34220345AA98A9F8A015D25DD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975A9B" w:rsidRPr="00A979E1">
                        <w:t>Type of meeting</w:t>
                      </w:r>
                    </w:sdtContent>
                  </w:sdt>
                </w:p>
              </w:tc>
              <w:tc>
                <w:tcPr>
                  <w:tcW w:w="4131" w:type="dxa"/>
                  <w:tcBorders>
                    <w:right w:val="single" w:sz="8" w:space="0" w:color="4472C4" w:themeColor="accent1"/>
                  </w:tcBorders>
                </w:tcPr>
                <w:p w14:paraId="74C7FF16" w14:textId="4E254861" w:rsidR="00975A9B" w:rsidRDefault="00E26C26" w:rsidP="00547BCA">
                  <w:pPr>
                    <w:spacing w:after="0"/>
                  </w:pPr>
                  <w:r>
                    <w:t xml:space="preserve">Community </w:t>
                  </w:r>
                  <w:r w:rsidR="00975A9B">
                    <w:t>Partners</w:t>
                  </w:r>
                  <w:r>
                    <w:t xml:space="preserve">, </w:t>
                  </w:r>
                  <w:r w:rsidR="00975A9B">
                    <w:t>Collaboration</w:t>
                  </w:r>
                  <w:r>
                    <w:t>,</w:t>
                  </w:r>
                  <w:r w:rsidR="00975A9B">
                    <w:t xml:space="preserve"> and Networking</w:t>
                  </w:r>
                </w:p>
              </w:tc>
            </w:tr>
            <w:tr w:rsidR="00975A9B" w14:paraId="492F618B" w14:textId="77777777" w:rsidTr="00AD3F55">
              <w:tc>
                <w:tcPr>
                  <w:tcW w:w="1259" w:type="dxa"/>
                  <w:tcBorders>
                    <w:left w:val="nil"/>
                  </w:tcBorders>
                </w:tcPr>
                <w:p w14:paraId="7105CBC6" w14:textId="5136B87D" w:rsidR="00975A9B" w:rsidRPr="00A979E1" w:rsidRDefault="00937605" w:rsidP="00547BCA">
                  <w:pPr>
                    <w:pStyle w:val="Heading3"/>
                  </w:pPr>
                  <w:r>
                    <w:t xml:space="preserve">Facilitator </w:t>
                  </w:r>
                </w:p>
              </w:tc>
              <w:tc>
                <w:tcPr>
                  <w:tcW w:w="4131" w:type="dxa"/>
                  <w:tcBorders>
                    <w:right w:val="single" w:sz="8" w:space="0" w:color="4472C4" w:themeColor="accent1"/>
                  </w:tcBorders>
                </w:tcPr>
                <w:p w14:paraId="06676F8E" w14:textId="3BBA2075" w:rsidR="00975A9B" w:rsidRDefault="00AD3F55" w:rsidP="00547BCA">
                  <w:pPr>
                    <w:spacing w:after="0"/>
                  </w:pPr>
                  <w:r>
                    <w:t>La</w:t>
                  </w:r>
                  <w:r w:rsidR="00BD57A1">
                    <w:t>ur</w:t>
                  </w:r>
                  <w:r>
                    <w:t>en Dillon,</w:t>
                  </w:r>
                  <w:r w:rsidR="00B73F57">
                    <w:t xml:space="preserve"> </w:t>
                  </w:r>
                  <w:r w:rsidR="00BD57A1">
                    <w:t>V</w:t>
                  </w:r>
                  <w:r w:rsidR="00F32825">
                    <w:t xml:space="preserve">R </w:t>
                  </w:r>
                  <w:r w:rsidR="00EE01EF">
                    <w:t>Transition Counselor</w:t>
                  </w:r>
                  <w:r w:rsidR="00F32825">
                    <w:t xml:space="preserve"> II</w:t>
                  </w:r>
                  <w:r w:rsidR="00EE01EF">
                    <w:br/>
                    <w:t>HireAbility</w:t>
                  </w:r>
                  <w:r>
                    <w:t xml:space="preserve"> </w:t>
                  </w:r>
                </w:p>
              </w:tc>
            </w:tr>
            <w:tr w:rsidR="00975A9B" w14:paraId="29C7B6A2" w14:textId="77777777" w:rsidTr="00AD3F55">
              <w:tc>
                <w:tcPr>
                  <w:tcW w:w="1259" w:type="dxa"/>
                  <w:tcBorders>
                    <w:left w:val="nil"/>
                  </w:tcBorders>
                </w:tcPr>
                <w:p w14:paraId="6212BCDC" w14:textId="1DE521AE" w:rsidR="00975A9B" w:rsidRDefault="00937605" w:rsidP="00547BCA">
                  <w:pPr>
                    <w:pStyle w:val="Heading3"/>
                  </w:pPr>
                  <w:r>
                    <w:t>Note Taker</w:t>
                  </w:r>
                </w:p>
                <w:p w14:paraId="39BDEBDC" w14:textId="706509DD" w:rsidR="00FA1864" w:rsidRPr="00A979E1" w:rsidRDefault="00FA1864" w:rsidP="00547BCA">
                  <w:pPr>
                    <w:pStyle w:val="Heading3"/>
                  </w:pPr>
                  <w:r>
                    <w:t xml:space="preserve"> </w:t>
                  </w:r>
                </w:p>
              </w:tc>
              <w:tc>
                <w:tcPr>
                  <w:tcW w:w="4131" w:type="dxa"/>
                  <w:tcBorders>
                    <w:right w:val="single" w:sz="8" w:space="0" w:color="4472C4" w:themeColor="accent1"/>
                  </w:tcBorders>
                </w:tcPr>
                <w:p w14:paraId="460E3302" w14:textId="39E0B5EC" w:rsidR="00B73F57" w:rsidRDefault="00B73F57" w:rsidP="00AD3F55">
                  <w:pPr>
                    <w:spacing w:after="0"/>
                    <w:ind w:left="0"/>
                  </w:pPr>
                  <w:r>
                    <w:t xml:space="preserve">Tara Shatney, </w:t>
                  </w:r>
                  <w:r w:rsidR="00EE01EF">
                    <w:t>Vocational Counselor</w:t>
                  </w:r>
                  <w:r w:rsidR="00EE01EF">
                    <w:br/>
                    <w:t>HireAbility</w:t>
                  </w:r>
                  <w:r>
                    <w:t xml:space="preserve"> </w:t>
                  </w:r>
                  <w:r w:rsidR="00FA1864">
                    <w:br/>
                  </w:r>
                  <w:r w:rsidR="00E26C26">
                    <w:t xml:space="preserve"> </w:t>
                  </w:r>
                </w:p>
              </w:tc>
            </w:tr>
            <w:tr w:rsidR="00975A9B" w14:paraId="1041D01F" w14:textId="77777777" w:rsidTr="00B73F57">
              <w:trPr>
                <w:trHeight w:val="297"/>
              </w:trPr>
              <w:tc>
                <w:tcPr>
                  <w:tcW w:w="1259" w:type="dxa"/>
                  <w:tcBorders>
                    <w:left w:val="nil"/>
                  </w:tcBorders>
                </w:tcPr>
                <w:p w14:paraId="6DB635B2" w14:textId="5D1D5478" w:rsidR="00975A9B" w:rsidRPr="00A979E1" w:rsidRDefault="00B73F57" w:rsidP="00B73F57">
                  <w:pPr>
                    <w:pStyle w:val="Heading3"/>
                    <w:ind w:left="0"/>
                  </w:pPr>
                  <w:r>
                    <w:t>Presenters:</w:t>
                  </w:r>
                </w:p>
              </w:tc>
              <w:tc>
                <w:tcPr>
                  <w:tcW w:w="4131" w:type="dxa"/>
                  <w:tcBorders>
                    <w:right w:val="single" w:sz="8" w:space="0" w:color="4472C4" w:themeColor="accent1"/>
                  </w:tcBorders>
                </w:tcPr>
                <w:p w14:paraId="0236ED7F" w14:textId="7386967D" w:rsidR="00B73F57" w:rsidRDefault="00EE01EF" w:rsidP="00EE01EF">
                  <w:pPr>
                    <w:spacing w:after="0"/>
                  </w:pPr>
                  <w:r>
                    <w:t>Kate Miller, Operations Manager</w:t>
                  </w:r>
                  <w:r>
                    <w:br/>
                    <w:t xml:space="preserve"> </w:t>
                  </w:r>
                  <w:r w:rsidR="00B73F57">
                    <w:t xml:space="preserve">Public Consulting Group (PCG) </w:t>
                  </w:r>
                </w:p>
              </w:tc>
            </w:tr>
          </w:tbl>
          <w:p w14:paraId="4275F7E8" w14:textId="4B55DC4C" w:rsidR="00975A9B" w:rsidRDefault="00B73F57" w:rsidP="00B73F57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37F12B19" wp14:editId="3A0F2F9B">
                  <wp:extent cx="1958196" cy="1969148"/>
                  <wp:effectExtent l="0" t="0" r="4445" b="0"/>
                  <wp:docPr id="1686316184" name="Picture 3" descr="Picture of a black tree top and bottom with the words Interagency Core Transition Teams Connect -- Collaborate -- Celebrate in the 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of a black tree top and bottom with the words Interagency Core Transition Teams Connect -- Collaborate -- Celebrate in the mid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244" cy="1988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D9E478" w14:textId="7FB0FE25" w:rsidR="00A123B2" w:rsidRDefault="00A123B2" w:rsidP="008145E4">
            <w:pPr>
              <w:spacing w:after="0"/>
              <w:ind w:left="0"/>
              <w:jc w:val="center"/>
            </w:pPr>
          </w:p>
        </w:tc>
        <w:tc>
          <w:tcPr>
            <w:tcW w:w="5400" w:type="dxa"/>
          </w:tcPr>
          <w:p w14:paraId="6A28573D" w14:textId="11A498F5" w:rsidR="00BC4709" w:rsidRDefault="00975A9B" w:rsidP="00BC4709">
            <w:pPr>
              <w:spacing w:after="0"/>
            </w:pPr>
            <w:r>
              <w:t xml:space="preserve">In-Person Attendance: </w:t>
            </w:r>
            <w:r>
              <w:br/>
            </w:r>
            <w:r w:rsidR="00B73F57">
              <w:t>Lauren Dillon</w:t>
            </w:r>
            <w:r w:rsidR="00EE6CC5">
              <w:t>, HireAbility</w:t>
            </w:r>
            <w:r w:rsidR="00B73F57">
              <w:br/>
              <w:t>Tara Shatney</w:t>
            </w:r>
            <w:r w:rsidR="00EE6CC5">
              <w:t>, HireAbility</w:t>
            </w:r>
            <w:r w:rsidR="00895300">
              <w:br/>
              <w:t>Seneca Smith</w:t>
            </w:r>
            <w:r w:rsidR="00EE6CC5">
              <w:t>, NCUHS</w:t>
            </w:r>
            <w:r w:rsidR="00895300">
              <w:br/>
              <w:t>Belinda Webster</w:t>
            </w:r>
            <w:r w:rsidR="00EE6CC5">
              <w:t>, NEKCA Youth Services</w:t>
            </w:r>
            <w:r w:rsidR="00895300">
              <w:br/>
              <w:t>Chelsea Stevens</w:t>
            </w:r>
            <w:r w:rsidR="00EE6CC5">
              <w:t>, NEKCA Youth Services</w:t>
            </w:r>
            <w:r w:rsidR="00895300">
              <w:br/>
              <w:t>Terri Boe</w:t>
            </w:r>
            <w:r w:rsidR="00EE6CC5">
              <w:t>, NEKCA BARJ</w:t>
            </w:r>
            <w:r w:rsidR="00895300">
              <w:br/>
              <w:t>Victoria LaGuardia</w:t>
            </w:r>
            <w:r w:rsidR="00EE6CC5">
              <w:t>, NEKCA BARJ</w:t>
            </w:r>
            <w:r w:rsidR="00895300">
              <w:br/>
              <w:t>Lisa Moulton</w:t>
            </w:r>
            <w:r w:rsidR="00EE6CC5">
              <w:t>, NCUHS</w:t>
            </w:r>
            <w:r w:rsidR="00895300">
              <w:br/>
            </w:r>
            <w:r>
              <w:br/>
              <w:t xml:space="preserve">Virtual Attendance: </w:t>
            </w:r>
            <w:r w:rsidR="00EE6CC5">
              <w:br/>
            </w:r>
            <w:r w:rsidR="00E26C26">
              <w:br/>
            </w:r>
            <w:r w:rsidR="00061EE4">
              <w:t>We</w:t>
            </w:r>
            <w:r w:rsidR="00061EE4" w:rsidRPr="00061EE4">
              <w:t xml:space="preserve"> experienced technical difficulties with the Zoom meeting and were unable to access the participant lis</w:t>
            </w:r>
            <w:r w:rsidR="00061EE4">
              <w:t>t</w:t>
            </w:r>
            <w:r w:rsidR="00BD57A1">
              <w:t xml:space="preserve"> which was over 35 individuals who joined our Core Team Meeting.</w:t>
            </w:r>
            <w:r w:rsidR="00061EE4">
              <w:t xml:space="preserve"> Thank you</w:t>
            </w:r>
            <w:r w:rsidR="00061EE4" w:rsidRPr="00061EE4">
              <w:t xml:space="preserve"> to the many community partners from </w:t>
            </w:r>
            <w:r w:rsidR="00061EE4">
              <w:t xml:space="preserve">the various </w:t>
            </w:r>
            <w:r w:rsidR="00061EE4" w:rsidRPr="00061EE4">
              <w:t xml:space="preserve">schools and </w:t>
            </w:r>
            <w:r w:rsidR="00061EE4">
              <w:t xml:space="preserve">human services organizations </w:t>
            </w:r>
            <w:r w:rsidR="00061EE4" w:rsidRPr="00061EE4">
              <w:t>across Orleans and Franklin Counties who joined us</w:t>
            </w:r>
            <w:r w:rsidR="00061EE4">
              <w:t>!</w:t>
            </w:r>
            <w:r w:rsidR="00BD57A1">
              <w:t>!!</w:t>
            </w:r>
          </w:p>
        </w:tc>
      </w:tr>
    </w:tbl>
    <w:p w14:paraId="176F50DC" w14:textId="05D4D54F" w:rsidR="00B73F57" w:rsidRPr="00B73F57" w:rsidRDefault="00C60298" w:rsidP="00B73F57">
      <w:pPr>
        <w:pStyle w:val="Heading1"/>
        <w:ind w:left="0"/>
        <w:rPr>
          <w:color w:val="auto"/>
          <w:sz w:val="28"/>
          <w:szCs w:val="28"/>
        </w:rPr>
      </w:pPr>
      <w:r>
        <w:rPr>
          <w:color w:val="2F5496" w:themeColor="accent1" w:themeShade="BF"/>
        </w:rPr>
        <w:br/>
      </w:r>
      <w:r w:rsidR="00975A9B" w:rsidRPr="004453F0">
        <w:rPr>
          <w:color w:val="2F5496" w:themeColor="accent1" w:themeShade="BF"/>
        </w:rPr>
        <w:t>Topic</w:t>
      </w:r>
      <w:r w:rsidR="00B73F57">
        <w:rPr>
          <w:color w:val="2F5496" w:themeColor="accent1" w:themeShade="BF"/>
        </w:rPr>
        <w:t xml:space="preserve">:     </w:t>
      </w:r>
      <w:r w:rsidR="00B73F57" w:rsidRPr="00B73F57">
        <w:rPr>
          <w:color w:val="auto"/>
        </w:rPr>
        <w:t xml:space="preserve">  </w:t>
      </w:r>
      <w:r w:rsidR="00B73F57" w:rsidRPr="00B73F57">
        <w:rPr>
          <w:color w:val="auto"/>
          <w:sz w:val="28"/>
          <w:szCs w:val="28"/>
        </w:rPr>
        <w:t>Developmental Services: Intake</w:t>
      </w:r>
      <w:r w:rsidR="00EE01EF">
        <w:rPr>
          <w:color w:val="auto"/>
          <w:sz w:val="28"/>
          <w:szCs w:val="28"/>
        </w:rPr>
        <w:t>,</w:t>
      </w:r>
      <w:r w:rsidR="00B73F57" w:rsidRPr="00B73F57">
        <w:rPr>
          <w:color w:val="auto"/>
          <w:sz w:val="28"/>
          <w:szCs w:val="28"/>
        </w:rPr>
        <w:t xml:space="preserve"> Eligibility</w:t>
      </w:r>
      <w:r w:rsidR="00EE01EF">
        <w:rPr>
          <w:color w:val="auto"/>
          <w:sz w:val="28"/>
          <w:szCs w:val="28"/>
        </w:rPr>
        <w:t>, &amp; Referral</w:t>
      </w:r>
      <w:r w:rsidR="00B73F57" w:rsidRPr="00B73F57">
        <w:rPr>
          <w:color w:val="auto"/>
          <w:sz w:val="28"/>
          <w:szCs w:val="28"/>
        </w:rPr>
        <w:t xml:space="preserve"> Process Overview</w:t>
      </w:r>
    </w:p>
    <w:p w14:paraId="2B581D93" w14:textId="46121D62" w:rsidR="00B73F57" w:rsidRDefault="00EE01EF" w:rsidP="00EE01EF">
      <w:pPr>
        <w:jc w:val="center"/>
      </w:pPr>
      <w:r>
        <w:t>PCG Operations Manager, Kate Miller, presented information on the new intake, eligibility and referral process for Developmental Services in Vermont.</w:t>
      </w:r>
    </w:p>
    <w:p w14:paraId="38432A1B" w14:textId="77777777" w:rsidR="00C60298" w:rsidRDefault="00C60298" w:rsidP="00EE01EF">
      <w:pPr>
        <w:jc w:val="center"/>
      </w:pPr>
    </w:p>
    <w:p w14:paraId="3AF051ED" w14:textId="48A80AFE" w:rsidR="00EE01EF" w:rsidRPr="00895300" w:rsidRDefault="00EE01EF" w:rsidP="00EE01EF">
      <w:pPr>
        <w:pStyle w:val="ListParagraph"/>
        <w:numPr>
          <w:ilvl w:val="0"/>
          <w:numId w:val="9"/>
        </w:numPr>
        <w:rPr>
          <w:b/>
          <w:bCs/>
        </w:rPr>
      </w:pPr>
      <w:r w:rsidRPr="00895300">
        <w:rPr>
          <w:b/>
          <w:bCs/>
        </w:rPr>
        <w:t xml:space="preserve">What is Public Consulting Group? </w:t>
      </w:r>
    </w:p>
    <w:p w14:paraId="1EF9AB0D" w14:textId="07B8C35F" w:rsidR="00EE01EF" w:rsidRDefault="00EE01EF" w:rsidP="00EE01EF">
      <w:pPr>
        <w:pStyle w:val="ListParagraph"/>
        <w:numPr>
          <w:ilvl w:val="1"/>
          <w:numId w:val="9"/>
        </w:numPr>
      </w:pPr>
      <w:r>
        <w:t xml:space="preserve">PCG is a consulting firm </w:t>
      </w:r>
      <w:r w:rsidR="00895300">
        <w:t xml:space="preserve">is </w:t>
      </w:r>
      <w:proofErr w:type="spellStart"/>
      <w:r>
        <w:t>headquarted</w:t>
      </w:r>
      <w:proofErr w:type="spellEnd"/>
      <w:r>
        <w:t xml:space="preserve"> in Boston</w:t>
      </w:r>
      <w:r w:rsidR="00895300">
        <w:t>, MA</w:t>
      </w:r>
      <w:r>
        <w:t xml:space="preserve"> and provid</w:t>
      </w:r>
      <w:r w:rsidR="00895300">
        <w:t>es</w:t>
      </w:r>
      <w:r>
        <w:t xml:space="preserve"> services </w:t>
      </w:r>
      <w:r w:rsidR="00895300">
        <w:t>to public sector agencies. PGC operates in all 50 US States, Europe, and Canada</w:t>
      </w:r>
      <w:r w:rsidR="00895300">
        <w:br/>
      </w:r>
    </w:p>
    <w:p w14:paraId="47B5685C" w14:textId="7C6A3F51" w:rsidR="00895300" w:rsidRDefault="00895300" w:rsidP="00EE01EF">
      <w:pPr>
        <w:pStyle w:val="ListParagraph"/>
        <w:numPr>
          <w:ilvl w:val="1"/>
          <w:numId w:val="9"/>
        </w:numPr>
      </w:pPr>
      <w:r>
        <w:t>In VT</w:t>
      </w:r>
      <w:r w:rsidR="00C60298">
        <w:t>,</w:t>
      </w:r>
      <w:r>
        <w:t xml:space="preserve"> PCG is responsible </w:t>
      </w:r>
      <w:r w:rsidR="00C60298">
        <w:t>for the</w:t>
      </w:r>
      <w:r>
        <w:t xml:space="preserve"> intake and eligibility </w:t>
      </w:r>
      <w:r w:rsidR="00C60298">
        <w:t>process of</w:t>
      </w:r>
      <w:r>
        <w:t xml:space="preserve"> 5 Developmental Disability Services including: </w:t>
      </w:r>
    </w:p>
    <w:p w14:paraId="47F498A9" w14:textId="37F7CBE3" w:rsidR="00895300" w:rsidRDefault="00895300" w:rsidP="00895300">
      <w:pPr>
        <w:pStyle w:val="ListParagraph"/>
        <w:numPr>
          <w:ilvl w:val="2"/>
          <w:numId w:val="9"/>
        </w:numPr>
      </w:pPr>
      <w:r>
        <w:t xml:space="preserve">The Bridge Program: Care Coordination for Children with Developmental </w:t>
      </w:r>
      <w:r w:rsidR="00B57391">
        <w:t>Disabilities</w:t>
      </w:r>
    </w:p>
    <w:p w14:paraId="799BDE71" w14:textId="73E6EB5F" w:rsidR="00895300" w:rsidRDefault="00895300" w:rsidP="00895300">
      <w:pPr>
        <w:pStyle w:val="ListParagraph"/>
        <w:numPr>
          <w:ilvl w:val="2"/>
          <w:numId w:val="9"/>
        </w:numPr>
      </w:pPr>
      <w:r>
        <w:t xml:space="preserve">Family Managed Respite (FMR) </w:t>
      </w:r>
    </w:p>
    <w:p w14:paraId="4F1614FC" w14:textId="03DE3C20" w:rsidR="00895300" w:rsidRDefault="00895300" w:rsidP="00895300">
      <w:pPr>
        <w:pStyle w:val="ListParagraph"/>
        <w:numPr>
          <w:ilvl w:val="2"/>
          <w:numId w:val="9"/>
        </w:numPr>
      </w:pPr>
      <w:r>
        <w:t xml:space="preserve">Flexible Family Funding (FFF) </w:t>
      </w:r>
    </w:p>
    <w:p w14:paraId="6AD8018D" w14:textId="3B47D41E" w:rsidR="00895300" w:rsidRDefault="00895300" w:rsidP="00895300">
      <w:pPr>
        <w:pStyle w:val="ListParagraph"/>
        <w:numPr>
          <w:ilvl w:val="2"/>
          <w:numId w:val="9"/>
        </w:numPr>
      </w:pPr>
      <w:r>
        <w:t xml:space="preserve">Home and Community Based Service (HCBS) </w:t>
      </w:r>
    </w:p>
    <w:p w14:paraId="25984133" w14:textId="1674539F" w:rsidR="00895300" w:rsidRDefault="00895300" w:rsidP="00895300">
      <w:pPr>
        <w:pStyle w:val="ListParagraph"/>
        <w:numPr>
          <w:ilvl w:val="2"/>
          <w:numId w:val="9"/>
        </w:numPr>
      </w:pPr>
      <w:r>
        <w:t xml:space="preserve">Targeted Case Management (TCM) </w:t>
      </w:r>
      <w:r>
        <w:br/>
      </w:r>
    </w:p>
    <w:p w14:paraId="20BE1CB7" w14:textId="02E446CD" w:rsidR="00EE01EF" w:rsidRDefault="00895300" w:rsidP="00EE01EF">
      <w:pPr>
        <w:pStyle w:val="ListParagraph"/>
        <w:numPr>
          <w:ilvl w:val="1"/>
          <w:numId w:val="9"/>
        </w:numPr>
      </w:pPr>
      <w:r>
        <w:t xml:space="preserve">The VT </w:t>
      </w:r>
      <w:r w:rsidR="00EE01EF">
        <w:t xml:space="preserve">team consists of 2 Operations Managers, a Senior Consultant, and 5 Intake &amp; Eligibility Specialists that provide services both virtually </w:t>
      </w:r>
      <w:r w:rsidR="00B57391">
        <w:t>and</w:t>
      </w:r>
      <w:r w:rsidR="00EE01EF">
        <w:t xml:space="preserve"> in-person across the state of VT. </w:t>
      </w:r>
    </w:p>
    <w:p w14:paraId="3CD37C2B" w14:textId="77777777" w:rsidR="00EE01EF" w:rsidRDefault="00EE01EF" w:rsidP="00EE01EF">
      <w:pPr>
        <w:pStyle w:val="ListParagraph"/>
        <w:ind w:left="1512"/>
      </w:pPr>
    </w:p>
    <w:p w14:paraId="30A08793" w14:textId="03B3240E" w:rsidR="00EE01EF" w:rsidRPr="00B57391" w:rsidRDefault="00EE01EF" w:rsidP="00B57391">
      <w:pPr>
        <w:pStyle w:val="ListParagraph"/>
        <w:numPr>
          <w:ilvl w:val="0"/>
          <w:numId w:val="9"/>
        </w:numPr>
        <w:rPr>
          <w:b/>
          <w:bCs/>
        </w:rPr>
      </w:pPr>
      <w:r w:rsidRPr="00895300">
        <w:rPr>
          <w:b/>
          <w:bCs/>
        </w:rPr>
        <w:lastRenderedPageBreak/>
        <w:t>What has change</w:t>
      </w:r>
      <w:r w:rsidR="00B57391">
        <w:rPr>
          <w:b/>
          <w:bCs/>
        </w:rPr>
        <w:t xml:space="preserve">d? </w:t>
      </w:r>
      <w:r w:rsidR="00C60298">
        <w:rPr>
          <w:b/>
          <w:bCs/>
        </w:rPr>
        <w:br/>
      </w:r>
    </w:p>
    <w:p w14:paraId="6BA8E661" w14:textId="0BEA1F4B" w:rsidR="00BB7ACA" w:rsidRDefault="00BB7ACA" w:rsidP="00BB7ACA">
      <w:pPr>
        <w:pStyle w:val="ListParagraph"/>
        <w:numPr>
          <w:ilvl w:val="1"/>
          <w:numId w:val="9"/>
        </w:numPr>
      </w:pPr>
      <w:r>
        <w:t xml:space="preserve">There is now a single, statewide intake and eligibility team instead of each Designated Agency conducting intake and eligibility independently. </w:t>
      </w:r>
      <w:r>
        <w:br/>
      </w:r>
    </w:p>
    <w:p w14:paraId="69ED7865" w14:textId="628F5ABB" w:rsidR="00C60298" w:rsidRDefault="00EE01EF" w:rsidP="00C60298">
      <w:pPr>
        <w:pStyle w:val="ListParagraph"/>
        <w:numPr>
          <w:ilvl w:val="1"/>
          <w:numId w:val="9"/>
        </w:numPr>
      </w:pPr>
      <w:r>
        <w:t xml:space="preserve">As of </w:t>
      </w:r>
      <w:r w:rsidR="00C60298">
        <w:t>10/01/2025</w:t>
      </w:r>
      <w:r>
        <w:t xml:space="preserve">, </w:t>
      </w:r>
      <w:r w:rsidR="00C60298">
        <w:t>PC</w:t>
      </w:r>
      <w:r w:rsidR="00BB7ACA">
        <w:t>G</w:t>
      </w:r>
      <w:r w:rsidR="00C60298">
        <w:t xml:space="preserve"> is responsible for supporting individuals through the</w:t>
      </w:r>
      <w:r w:rsidR="00BB7ACA">
        <w:t xml:space="preserve"> DS</w:t>
      </w:r>
      <w:r w:rsidR="00C60298">
        <w:t xml:space="preserve"> referral and application process</w:t>
      </w:r>
      <w:r w:rsidR="00BB7ACA">
        <w:t xml:space="preserve">: </w:t>
      </w:r>
    </w:p>
    <w:p w14:paraId="6F79F752" w14:textId="7BBC403B" w:rsidR="00BB7ACA" w:rsidRDefault="00EE01EF" w:rsidP="00C60298">
      <w:pPr>
        <w:pStyle w:val="ListParagraph"/>
        <w:numPr>
          <w:ilvl w:val="2"/>
          <w:numId w:val="9"/>
        </w:numPr>
      </w:pPr>
      <w:r>
        <w:t xml:space="preserve">PCG </w:t>
      </w:r>
      <w:r w:rsidR="00BB7ACA">
        <w:t>does not determine</w:t>
      </w:r>
      <w:r w:rsidR="00C60298">
        <w:t xml:space="preserve"> eligibility, </w:t>
      </w:r>
      <w:r w:rsidR="00BB7ACA">
        <w:t>VT’s</w:t>
      </w:r>
      <w:r w:rsidR="00C60298">
        <w:t xml:space="preserve"> </w:t>
      </w:r>
      <w:r>
        <w:t>D</w:t>
      </w:r>
      <w:r w:rsidR="00C60298">
        <w:t xml:space="preserve">evelopmental </w:t>
      </w:r>
      <w:r>
        <w:t>D</w:t>
      </w:r>
      <w:r w:rsidR="00C60298">
        <w:t xml:space="preserve">isability </w:t>
      </w:r>
      <w:r>
        <w:t>S</w:t>
      </w:r>
      <w:r w:rsidR="00C60298">
        <w:t xml:space="preserve">ervices </w:t>
      </w:r>
      <w:r w:rsidR="00BB7ACA">
        <w:t>Division</w:t>
      </w:r>
      <w:r>
        <w:t xml:space="preserve"> makes the determination and sends out eligibility letters. PCG collects all necessary information and makes recommendations </w:t>
      </w:r>
      <w:r w:rsidR="00C60298">
        <w:t xml:space="preserve">to DDSD. </w:t>
      </w:r>
      <w:r w:rsidR="00BB7ACA">
        <w:br/>
      </w:r>
    </w:p>
    <w:p w14:paraId="65053C1D" w14:textId="61B853EF" w:rsidR="00BB7ACA" w:rsidRPr="00BB7ACA" w:rsidRDefault="00BB7ACA" w:rsidP="00BB7ACA">
      <w:pPr>
        <w:pStyle w:val="ListParagraph"/>
        <w:numPr>
          <w:ilvl w:val="0"/>
          <w:numId w:val="9"/>
        </w:numPr>
      </w:pPr>
      <w:r>
        <w:rPr>
          <w:b/>
          <w:bCs/>
        </w:rPr>
        <w:t xml:space="preserve">What hasn’t changed? </w:t>
      </w:r>
      <w:r>
        <w:rPr>
          <w:b/>
          <w:bCs/>
        </w:rPr>
        <w:br/>
      </w:r>
    </w:p>
    <w:p w14:paraId="203CE2D3" w14:textId="4927242F" w:rsidR="00C60298" w:rsidRDefault="00C60298" w:rsidP="00BB7ACA">
      <w:pPr>
        <w:pStyle w:val="ListParagraph"/>
        <w:numPr>
          <w:ilvl w:val="1"/>
          <w:numId w:val="9"/>
        </w:numPr>
      </w:pPr>
      <w:r>
        <w:t xml:space="preserve">Though the </w:t>
      </w:r>
      <w:r w:rsidR="00944DE3">
        <w:t>referral &amp; application</w:t>
      </w:r>
      <w:r>
        <w:t xml:space="preserve"> process is different, eligibility criteria </w:t>
      </w:r>
      <w:r w:rsidR="00944DE3">
        <w:t>has</w:t>
      </w:r>
      <w:r>
        <w:t xml:space="preserve"> not changed. To be eligible for DS services, in individual must: </w:t>
      </w:r>
      <w:r>
        <w:tab/>
      </w:r>
    </w:p>
    <w:p w14:paraId="491310AD" w14:textId="77777777" w:rsidR="00BB7ACA" w:rsidRDefault="00BB7ACA" w:rsidP="00C60298">
      <w:pPr>
        <w:pStyle w:val="ListParagraph"/>
        <w:numPr>
          <w:ilvl w:val="2"/>
          <w:numId w:val="9"/>
        </w:numPr>
      </w:pPr>
      <w:r>
        <w:t xml:space="preserve">Be a resident of Vermont. </w:t>
      </w:r>
    </w:p>
    <w:p w14:paraId="0B0DE16B" w14:textId="13E74A61" w:rsidR="00BB7ACA" w:rsidRDefault="00BB7ACA" w:rsidP="00C60298">
      <w:pPr>
        <w:pStyle w:val="ListParagraph"/>
        <w:numPr>
          <w:ilvl w:val="2"/>
          <w:numId w:val="9"/>
        </w:numPr>
      </w:pPr>
      <w:r>
        <w:t xml:space="preserve">Be found </w:t>
      </w:r>
      <w:r w:rsidR="00944DE3">
        <w:t>financially eligible, qualifying</w:t>
      </w:r>
      <w:r>
        <w:t xml:space="preserve"> for Medicaid. </w:t>
      </w:r>
    </w:p>
    <w:p w14:paraId="1475B778" w14:textId="7EEA98A8" w:rsidR="009322A2" w:rsidRDefault="00BB7ACA" w:rsidP="00BB7ACA">
      <w:pPr>
        <w:pStyle w:val="ListParagraph"/>
        <w:numPr>
          <w:ilvl w:val="2"/>
          <w:numId w:val="9"/>
        </w:numPr>
      </w:pPr>
      <w:r>
        <w:t>Be found clinically eligible.</w:t>
      </w:r>
      <w:r w:rsidR="009322A2">
        <w:br/>
      </w:r>
    </w:p>
    <w:p w14:paraId="6DAB9E93" w14:textId="53D3B292" w:rsidR="00CF35AE" w:rsidRDefault="009322A2" w:rsidP="009322A2">
      <w:pPr>
        <w:pStyle w:val="ListParagraph"/>
        <w:numPr>
          <w:ilvl w:val="1"/>
          <w:numId w:val="9"/>
        </w:numPr>
      </w:pPr>
      <w:r>
        <w:t xml:space="preserve">You can find more information on eligibility criteria on the DDSD website here:  </w:t>
      </w:r>
      <w:hyperlink r:id="rId8" w:history="1">
        <w:r w:rsidRPr="009322A2">
          <w:rPr>
            <w:rStyle w:val="Hyperlink"/>
          </w:rPr>
          <w:t>Eligibility Criteria for Developmental Disabilities Services | Developmental Disabilities Services Division</w:t>
        </w:r>
      </w:hyperlink>
      <w:r w:rsidR="00BB7ACA">
        <w:br/>
      </w:r>
    </w:p>
    <w:p w14:paraId="244B3512" w14:textId="05DA9274" w:rsidR="00BB7ACA" w:rsidRDefault="00BB7ACA" w:rsidP="00BB7ACA">
      <w:pPr>
        <w:pStyle w:val="ListParagraph"/>
        <w:numPr>
          <w:ilvl w:val="0"/>
          <w:numId w:val="9"/>
        </w:numPr>
      </w:pPr>
      <w:r>
        <w:rPr>
          <w:b/>
          <w:bCs/>
        </w:rPr>
        <w:t>The Intake &amp; Eligibility Process</w:t>
      </w:r>
      <w:r>
        <w:rPr>
          <w:b/>
          <w:bCs/>
        </w:rPr>
        <w:br/>
      </w:r>
    </w:p>
    <w:p w14:paraId="5BD6A162" w14:textId="53FA1234" w:rsidR="00FF38CF" w:rsidRDefault="00FF38CF" w:rsidP="00CF35AE">
      <w:pPr>
        <w:pStyle w:val="ListParagraph"/>
        <w:numPr>
          <w:ilvl w:val="1"/>
          <w:numId w:val="9"/>
        </w:numPr>
      </w:pPr>
      <w:r>
        <w:t>Intake Specialists are available M-F from 8:00-4:30 to assist with the following:</w:t>
      </w:r>
      <w:r>
        <w:br/>
      </w:r>
    </w:p>
    <w:p w14:paraId="4E3CAE99" w14:textId="5C56BFAA" w:rsidR="00FF38CF" w:rsidRDefault="00FF38CF" w:rsidP="00FF38CF">
      <w:pPr>
        <w:pStyle w:val="ListParagraph"/>
        <w:numPr>
          <w:ilvl w:val="2"/>
          <w:numId w:val="9"/>
        </w:numPr>
      </w:pPr>
      <w:r>
        <w:t xml:space="preserve">Respond to inquiries related to DS programs </w:t>
      </w:r>
    </w:p>
    <w:p w14:paraId="743BFBDE" w14:textId="77777777" w:rsidR="00FF38CF" w:rsidRDefault="00FF38CF" w:rsidP="00FF38CF">
      <w:pPr>
        <w:pStyle w:val="ListParagraph"/>
        <w:numPr>
          <w:ilvl w:val="2"/>
          <w:numId w:val="9"/>
        </w:numPr>
      </w:pPr>
      <w:r>
        <w:t>Gather basic information and confirm Medicaid enrollment</w:t>
      </w:r>
    </w:p>
    <w:p w14:paraId="5C71AABE" w14:textId="7699B23D" w:rsidR="00FF38CF" w:rsidRDefault="00FF38CF" w:rsidP="00944DE3">
      <w:pPr>
        <w:pStyle w:val="ListParagraph"/>
        <w:numPr>
          <w:ilvl w:val="3"/>
          <w:numId w:val="9"/>
        </w:numPr>
      </w:pPr>
      <w:r>
        <w:t xml:space="preserve">If the applicant does not have Medicaid, the specialist will assist with a referral to a health care navigator. </w:t>
      </w:r>
    </w:p>
    <w:p w14:paraId="21F9077F" w14:textId="66029ACC" w:rsidR="00944DE3" w:rsidRDefault="00944DE3" w:rsidP="00944DE3">
      <w:pPr>
        <w:pStyle w:val="ListParagraph"/>
        <w:numPr>
          <w:ilvl w:val="3"/>
          <w:numId w:val="9"/>
        </w:numPr>
      </w:pPr>
      <w:r>
        <w:t xml:space="preserve">Specialists will so assist with information about other community programs if needed. </w:t>
      </w:r>
    </w:p>
    <w:p w14:paraId="5B0DE5F7" w14:textId="29947A51" w:rsidR="00944DE3" w:rsidRDefault="00FF38CF" w:rsidP="00944DE3">
      <w:pPr>
        <w:pStyle w:val="ListParagraph"/>
        <w:numPr>
          <w:ilvl w:val="2"/>
          <w:numId w:val="9"/>
        </w:numPr>
      </w:pPr>
      <w:r>
        <w:t xml:space="preserve">If the applicant is Medicaid eligible, the specialist will schedule an intake with applicant and/or their </w:t>
      </w:r>
      <w:r w:rsidR="00DF45F9">
        <w:t>authorized</w:t>
      </w:r>
      <w:r>
        <w:t xml:space="preserve"> representative.  </w:t>
      </w:r>
      <w:r w:rsidR="003D21D2">
        <w:br/>
      </w:r>
    </w:p>
    <w:p w14:paraId="166CFC85" w14:textId="77777777" w:rsidR="00FF38CF" w:rsidRDefault="00FF38CF" w:rsidP="00445B20">
      <w:pPr>
        <w:pStyle w:val="ListParagraph"/>
        <w:numPr>
          <w:ilvl w:val="2"/>
          <w:numId w:val="9"/>
        </w:numPr>
      </w:pPr>
      <w:r>
        <w:t xml:space="preserve">PCG has an “open door policy” when it comes to </w:t>
      </w:r>
      <w:r w:rsidR="00445B20">
        <w:t>referrals</w:t>
      </w:r>
      <w:r>
        <w:t>. Referrals often come from the applicant or their family, special educators, Designated</w:t>
      </w:r>
      <w:r w:rsidR="00445B20">
        <w:t xml:space="preserve"> Agencies, and other community partners. </w:t>
      </w:r>
    </w:p>
    <w:p w14:paraId="495789F0" w14:textId="709889CE" w:rsidR="00445B20" w:rsidRDefault="00FF38CF" w:rsidP="00FF38CF">
      <w:pPr>
        <w:pStyle w:val="ListParagraph"/>
        <w:numPr>
          <w:ilvl w:val="3"/>
          <w:numId w:val="9"/>
        </w:numPr>
      </w:pPr>
      <w:r>
        <w:t xml:space="preserve">With a signed release, referral sources are encouraged to be </w:t>
      </w:r>
      <w:r w:rsidR="001F5F37">
        <w:t>active</w:t>
      </w:r>
      <w:r>
        <w:t xml:space="preserve"> support through the intake process. </w:t>
      </w:r>
      <w:r w:rsidR="00944DE3">
        <w:br/>
      </w:r>
    </w:p>
    <w:p w14:paraId="063B918D" w14:textId="7636CBA7" w:rsidR="00CF35AE" w:rsidRDefault="00445B20" w:rsidP="00445B20">
      <w:pPr>
        <w:pStyle w:val="ListParagraph"/>
        <w:numPr>
          <w:ilvl w:val="2"/>
          <w:numId w:val="9"/>
        </w:numPr>
      </w:pPr>
      <w:r>
        <w:t xml:space="preserve">PCG recommends starting the application process 6-12 months prior to when DS </w:t>
      </w:r>
      <w:r w:rsidR="00944DE3">
        <w:t>services begin</w:t>
      </w:r>
      <w:r>
        <w:t xml:space="preserve">. </w:t>
      </w:r>
      <w:r w:rsidR="00CF35AE">
        <w:t xml:space="preserve">Common referral reasons could include: </w:t>
      </w:r>
    </w:p>
    <w:p w14:paraId="26B40480" w14:textId="34DC591A" w:rsidR="00CF35AE" w:rsidRDefault="00CF35AE" w:rsidP="00CF35AE">
      <w:pPr>
        <w:pStyle w:val="ListParagraph"/>
        <w:numPr>
          <w:ilvl w:val="3"/>
          <w:numId w:val="9"/>
        </w:numPr>
      </w:pPr>
      <w:r>
        <w:t xml:space="preserve">Newly diagnosed individuals </w:t>
      </w:r>
    </w:p>
    <w:p w14:paraId="7E8690FF" w14:textId="418A2570" w:rsidR="00CF35AE" w:rsidRDefault="00CF35AE" w:rsidP="00CF35AE">
      <w:pPr>
        <w:pStyle w:val="ListParagraph"/>
        <w:numPr>
          <w:ilvl w:val="3"/>
          <w:numId w:val="9"/>
        </w:numPr>
      </w:pPr>
      <w:r>
        <w:t>Change in support needs</w:t>
      </w:r>
    </w:p>
    <w:p w14:paraId="67B07F9C" w14:textId="7734C628" w:rsidR="00CF35AE" w:rsidRDefault="00CF35AE" w:rsidP="00CF35AE">
      <w:pPr>
        <w:pStyle w:val="ListParagraph"/>
        <w:numPr>
          <w:ilvl w:val="3"/>
          <w:numId w:val="9"/>
        </w:numPr>
      </w:pPr>
      <w:r>
        <w:t xml:space="preserve">Youth transitioning to adult services </w:t>
      </w:r>
    </w:p>
    <w:p w14:paraId="3F3B453C" w14:textId="44099F50" w:rsidR="00CF35AE" w:rsidRDefault="00CF35AE" w:rsidP="00CF35AE">
      <w:pPr>
        <w:pStyle w:val="ListParagraph"/>
        <w:numPr>
          <w:ilvl w:val="3"/>
          <w:numId w:val="9"/>
        </w:numPr>
      </w:pPr>
      <w:r>
        <w:t>Aging out of DCF custody</w:t>
      </w:r>
    </w:p>
    <w:p w14:paraId="7D49B9C2" w14:textId="2A86BBC3" w:rsidR="00FF38CF" w:rsidRDefault="00CF35AE" w:rsidP="00FF38CF">
      <w:pPr>
        <w:pStyle w:val="ListParagraph"/>
        <w:numPr>
          <w:ilvl w:val="3"/>
          <w:numId w:val="9"/>
        </w:numPr>
      </w:pPr>
      <w:r>
        <w:t xml:space="preserve">Moving </w:t>
      </w:r>
      <w:r w:rsidR="00445B20">
        <w:t>from another</w:t>
      </w:r>
      <w:r>
        <w:t xml:space="preserve"> state </w:t>
      </w:r>
      <w:r w:rsidR="00DF45F9">
        <w:br/>
      </w:r>
    </w:p>
    <w:p w14:paraId="7D3D6D1D" w14:textId="388FFE2D" w:rsidR="00DF45F9" w:rsidRDefault="00DF45F9" w:rsidP="00DF45F9">
      <w:pPr>
        <w:pStyle w:val="ListParagraph"/>
        <w:numPr>
          <w:ilvl w:val="2"/>
          <w:numId w:val="9"/>
        </w:numPr>
      </w:pPr>
      <w:r>
        <w:t xml:space="preserve">The intake process will occur virtually via Zoom or Teams, unless the applicant would need or prefer to meet in-person. </w:t>
      </w:r>
      <w:r>
        <w:br/>
      </w:r>
    </w:p>
    <w:p w14:paraId="0C99E415" w14:textId="42EB5164" w:rsidR="00DF45F9" w:rsidRDefault="00DF45F9" w:rsidP="00DF45F9">
      <w:pPr>
        <w:pStyle w:val="ListParagraph"/>
        <w:numPr>
          <w:ilvl w:val="2"/>
          <w:numId w:val="9"/>
        </w:numPr>
      </w:pPr>
      <w:r>
        <w:lastRenderedPageBreak/>
        <w:t xml:space="preserve">If an evaluation to determine clinical eligibility hasn’t occurred, the specialist will assist in facilitating this.  The timeline for this process can vary significantly, depending on the information available during the intake. </w:t>
      </w:r>
      <w:r w:rsidR="00411915">
        <w:br/>
      </w:r>
    </w:p>
    <w:p w14:paraId="1C4CBFF1" w14:textId="60002B51" w:rsidR="005C204C" w:rsidRDefault="005C204C" w:rsidP="00DF45F9">
      <w:pPr>
        <w:pStyle w:val="ListParagraph"/>
        <w:numPr>
          <w:ilvl w:val="1"/>
          <w:numId w:val="9"/>
        </w:numPr>
      </w:pPr>
      <w:r>
        <w:t xml:space="preserve">Once application is finalized, DDSD will issue a clinical eligibility determination and funding letter within 45 days. </w:t>
      </w:r>
      <w:r w:rsidR="00DF45F9">
        <w:br/>
      </w:r>
    </w:p>
    <w:p w14:paraId="6CD8E978" w14:textId="298EF665" w:rsidR="00944DE3" w:rsidRDefault="00DF45F9" w:rsidP="00944DE3">
      <w:pPr>
        <w:pStyle w:val="ListParagraph"/>
        <w:numPr>
          <w:ilvl w:val="1"/>
          <w:numId w:val="9"/>
        </w:numPr>
      </w:pPr>
      <w:r>
        <w:t xml:space="preserve">Once determined eligible, the applicant will receive choice counseling to </w:t>
      </w:r>
      <w:r w:rsidR="001F5F37">
        <w:t xml:space="preserve">make an informed decision about the case management </w:t>
      </w:r>
      <w:r w:rsidR="00944DE3">
        <w:t>organization</w:t>
      </w:r>
      <w:r w:rsidR="001F5F37">
        <w:t xml:space="preserve"> they will be supported by.</w:t>
      </w:r>
      <w:r w:rsidR="00944DE3">
        <w:t xml:space="preserve"> VT has contracted with two CMO:</w:t>
      </w:r>
    </w:p>
    <w:p w14:paraId="4FF32336" w14:textId="1B23911E" w:rsidR="00944DE3" w:rsidRDefault="00944DE3" w:rsidP="00944DE3">
      <w:pPr>
        <w:pStyle w:val="ListParagraph"/>
        <w:numPr>
          <w:ilvl w:val="2"/>
          <w:numId w:val="9"/>
        </w:numPr>
      </w:pPr>
      <w:r>
        <w:t xml:space="preserve">Benchmark Human Services and The Columbus Organization </w:t>
      </w:r>
    </w:p>
    <w:p w14:paraId="2E8A361D" w14:textId="3485D487" w:rsidR="001F5F37" w:rsidRDefault="00DF45F9" w:rsidP="001F5F37">
      <w:pPr>
        <w:pStyle w:val="ListParagraph"/>
        <w:numPr>
          <w:ilvl w:val="2"/>
          <w:numId w:val="9"/>
        </w:numPr>
      </w:pPr>
      <w:r>
        <w:t xml:space="preserve">If eligible for a non-Medicaid waiver program, the applicant will </w:t>
      </w:r>
      <w:proofErr w:type="gramStart"/>
      <w:r>
        <w:t>be connected with</w:t>
      </w:r>
      <w:proofErr w:type="gramEnd"/>
      <w:r>
        <w:t xml:space="preserve"> their local Designated Agency. </w:t>
      </w:r>
      <w:r w:rsidR="001F5F37">
        <w:br/>
      </w:r>
    </w:p>
    <w:p w14:paraId="4B2D2D67" w14:textId="77777777" w:rsidR="00944DE3" w:rsidRDefault="001F5F37" w:rsidP="001F5F37">
      <w:pPr>
        <w:pStyle w:val="ListParagraph"/>
        <w:numPr>
          <w:ilvl w:val="1"/>
          <w:numId w:val="9"/>
        </w:numPr>
      </w:pPr>
      <w:r>
        <w:t xml:space="preserve">Finally, the intake specialist will </w:t>
      </w:r>
      <w:proofErr w:type="gramStart"/>
      <w:r w:rsidR="00944DE3">
        <w:t>scheduling</w:t>
      </w:r>
      <w:proofErr w:type="gramEnd"/>
      <w:r>
        <w:t xml:space="preserve"> a SIS-A assessment</w:t>
      </w:r>
    </w:p>
    <w:p w14:paraId="0C1C0920" w14:textId="67DFAF15" w:rsidR="00DF45F9" w:rsidRDefault="00944DE3" w:rsidP="00944DE3">
      <w:pPr>
        <w:pStyle w:val="ListParagraph"/>
        <w:numPr>
          <w:ilvl w:val="2"/>
          <w:numId w:val="9"/>
        </w:numPr>
      </w:pPr>
      <w:r>
        <w:t xml:space="preserve">The CMO will be invited to participated along with two required qualified respondents with knowledge of the applicant. </w:t>
      </w:r>
      <w:r>
        <w:br/>
      </w:r>
    </w:p>
    <w:p w14:paraId="06D72853" w14:textId="641A983D" w:rsidR="001F5F37" w:rsidRPr="001F5F37" w:rsidRDefault="00DF45F9" w:rsidP="001F5F37">
      <w:pPr>
        <w:pStyle w:val="ListParagraph"/>
        <w:numPr>
          <w:ilvl w:val="0"/>
          <w:numId w:val="9"/>
        </w:numPr>
      </w:pPr>
      <w:r>
        <w:rPr>
          <w:b/>
          <w:bCs/>
        </w:rPr>
        <w:t xml:space="preserve">How can Referral </w:t>
      </w:r>
      <w:r w:rsidR="001F5F37">
        <w:rPr>
          <w:b/>
          <w:bCs/>
        </w:rPr>
        <w:t>sources help with th</w:t>
      </w:r>
      <w:r w:rsidR="00944DE3">
        <w:rPr>
          <w:b/>
          <w:bCs/>
        </w:rPr>
        <w:t>is</w:t>
      </w:r>
      <w:r w:rsidR="001F5F37">
        <w:rPr>
          <w:b/>
          <w:bCs/>
        </w:rPr>
        <w:t xml:space="preserve"> process? </w:t>
      </w:r>
    </w:p>
    <w:p w14:paraId="6432B928" w14:textId="5341D6B1" w:rsidR="001F5F37" w:rsidRDefault="00944DE3" w:rsidP="001F5F37">
      <w:pPr>
        <w:pStyle w:val="ListParagraph"/>
        <w:numPr>
          <w:ilvl w:val="1"/>
          <w:numId w:val="9"/>
        </w:numPr>
      </w:pPr>
      <w:r>
        <w:t>D</w:t>
      </w:r>
      <w:r w:rsidR="001F5F37">
        <w:t xml:space="preserve">irect individuals who may </w:t>
      </w:r>
      <w:r w:rsidR="00137AF9">
        <w:t>need services</w:t>
      </w:r>
      <w:r w:rsidR="001F5F37">
        <w:t xml:space="preserve"> to PCG</w:t>
      </w:r>
      <w:r>
        <w:t>.</w:t>
      </w:r>
    </w:p>
    <w:p w14:paraId="33552C22" w14:textId="50454109" w:rsidR="001F5F37" w:rsidRDefault="001F5F37" w:rsidP="001F5F37">
      <w:pPr>
        <w:pStyle w:val="ListParagraph"/>
        <w:numPr>
          <w:ilvl w:val="1"/>
          <w:numId w:val="9"/>
        </w:numPr>
      </w:pPr>
      <w:r>
        <w:t>Help to explain the process</w:t>
      </w:r>
      <w:r w:rsidR="00944DE3">
        <w:t>.</w:t>
      </w:r>
    </w:p>
    <w:p w14:paraId="6260BC27" w14:textId="22D116FC" w:rsidR="001F5F37" w:rsidRDefault="001F5F37" w:rsidP="001F5F37">
      <w:pPr>
        <w:pStyle w:val="ListParagraph"/>
        <w:numPr>
          <w:ilvl w:val="1"/>
          <w:numId w:val="9"/>
        </w:numPr>
      </w:pPr>
      <w:r>
        <w:t>With c</w:t>
      </w:r>
      <w:r w:rsidR="00944DE3">
        <w:t xml:space="preserve">onsent, </w:t>
      </w:r>
      <w:r>
        <w:t>help gather records needed to confirm eligibility</w:t>
      </w:r>
      <w:r w:rsidR="00944DE3">
        <w:t xml:space="preserve"> or offer support during the intake. </w:t>
      </w:r>
    </w:p>
    <w:p w14:paraId="0B52A407" w14:textId="6F572EE6" w:rsidR="00DF45F9" w:rsidRDefault="00137AF9" w:rsidP="001F5F37">
      <w:pPr>
        <w:pStyle w:val="ListParagraph"/>
        <w:numPr>
          <w:ilvl w:val="1"/>
          <w:numId w:val="9"/>
        </w:numPr>
      </w:pPr>
      <w:r>
        <w:t xml:space="preserve">Collaborate with CMO or DA once eligible </w:t>
      </w:r>
      <w:r w:rsidR="00944DE3">
        <w:t xml:space="preserve"> </w:t>
      </w:r>
      <w:r w:rsidR="00DF45F9">
        <w:br/>
      </w:r>
    </w:p>
    <w:p w14:paraId="39D34C57" w14:textId="77777777" w:rsidR="00137AF9" w:rsidRDefault="005C204C" w:rsidP="00DF45F9">
      <w:pPr>
        <w:pStyle w:val="ListParagraph"/>
        <w:numPr>
          <w:ilvl w:val="0"/>
          <w:numId w:val="9"/>
        </w:numPr>
      </w:pPr>
      <w:r w:rsidRPr="00137AF9">
        <w:rPr>
          <w:b/>
          <w:bCs/>
        </w:rPr>
        <w:t>Key Takeaway:</w:t>
      </w:r>
      <w:r>
        <w:t xml:space="preserve"> </w:t>
      </w:r>
    </w:p>
    <w:p w14:paraId="4A5914F8" w14:textId="6174358A" w:rsidR="005C204C" w:rsidRDefault="005C204C" w:rsidP="00137AF9">
      <w:pPr>
        <w:pStyle w:val="ListParagraph"/>
        <w:numPr>
          <w:ilvl w:val="1"/>
          <w:numId w:val="9"/>
        </w:numPr>
      </w:pPr>
      <w:r>
        <w:t xml:space="preserve">Referral partners are essential. The process works best </w:t>
      </w:r>
      <w:r w:rsidR="00DF45F9">
        <w:t xml:space="preserve">with collaboration as the </w:t>
      </w:r>
      <w:r>
        <w:t xml:space="preserve">hope is to streamline this </w:t>
      </w:r>
      <w:r w:rsidR="00F9616C">
        <w:t>process</w:t>
      </w:r>
      <w:r w:rsidR="00DF45F9">
        <w:t xml:space="preserve"> so eligible individuals can have more time receiving services and spend less time navigating the eligibility process. </w:t>
      </w:r>
      <w:r w:rsidR="00137AF9">
        <w:br/>
      </w:r>
    </w:p>
    <w:p w14:paraId="6866428B" w14:textId="2A60F68D" w:rsidR="00F9616C" w:rsidRPr="00137AF9" w:rsidRDefault="00137AF9" w:rsidP="00F9616C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Discussion &amp; Questions </w:t>
      </w:r>
      <w:r w:rsidR="009322A2">
        <w:rPr>
          <w:b/>
          <w:bCs/>
        </w:rPr>
        <w:t xml:space="preserve">that came up </w:t>
      </w:r>
      <w:r>
        <w:rPr>
          <w:b/>
          <w:bCs/>
        </w:rPr>
        <w:t xml:space="preserve">following the </w:t>
      </w:r>
      <w:r w:rsidR="009322A2">
        <w:rPr>
          <w:b/>
          <w:bCs/>
        </w:rPr>
        <w:t>p</w:t>
      </w:r>
      <w:r>
        <w:rPr>
          <w:b/>
          <w:bCs/>
        </w:rPr>
        <w:t xml:space="preserve">resentation </w:t>
      </w:r>
      <w:r>
        <w:rPr>
          <w:b/>
          <w:bCs/>
        </w:rPr>
        <w:br/>
      </w:r>
    </w:p>
    <w:p w14:paraId="36EBBCB8" w14:textId="1253195C" w:rsidR="00F9616C" w:rsidRDefault="00F9616C" w:rsidP="00F9616C">
      <w:pPr>
        <w:pStyle w:val="ListParagraph"/>
        <w:numPr>
          <w:ilvl w:val="1"/>
          <w:numId w:val="9"/>
        </w:numPr>
      </w:pPr>
      <w:r>
        <w:t xml:space="preserve">How far in advance should community partners be thinking about a referral process for a potentially eligible student? </w:t>
      </w:r>
    </w:p>
    <w:p w14:paraId="38E3DD4B" w14:textId="1997BFFE" w:rsidR="00137AF9" w:rsidRDefault="00F9616C" w:rsidP="00137AF9">
      <w:pPr>
        <w:pStyle w:val="ListParagraph"/>
        <w:numPr>
          <w:ilvl w:val="2"/>
          <w:numId w:val="9"/>
        </w:numPr>
      </w:pPr>
      <w:r>
        <w:t xml:space="preserve">Prior to a life event- aging out of </w:t>
      </w:r>
      <w:r w:rsidR="00137AF9">
        <w:t>youth</w:t>
      </w:r>
      <w:r>
        <w:t xml:space="preserve"> services &amp; into adult services</w:t>
      </w:r>
      <w:r w:rsidR="00137AF9">
        <w:t>.</w:t>
      </w:r>
    </w:p>
    <w:p w14:paraId="65C3A7AC" w14:textId="24875A43" w:rsidR="00F9616C" w:rsidRDefault="00137AF9" w:rsidP="00F9616C">
      <w:pPr>
        <w:pStyle w:val="ListParagraph"/>
        <w:numPr>
          <w:ilvl w:val="2"/>
          <w:numId w:val="9"/>
        </w:numPr>
      </w:pPr>
      <w:r>
        <w:t>DDSD is s</w:t>
      </w:r>
      <w:r w:rsidR="00F9616C">
        <w:t xml:space="preserve">till working on developing specific statewide guidance, but the current recommendation is to start the referral process 6-12 months prior to this transition. </w:t>
      </w:r>
      <w:r w:rsidR="00F9616C">
        <w:br/>
      </w:r>
    </w:p>
    <w:p w14:paraId="79CB1779" w14:textId="7A69BA4A" w:rsidR="00F9616C" w:rsidRDefault="00137AF9" w:rsidP="00F9616C">
      <w:pPr>
        <w:pStyle w:val="ListParagraph"/>
        <w:numPr>
          <w:ilvl w:val="1"/>
          <w:numId w:val="9"/>
        </w:numPr>
      </w:pPr>
      <w:r>
        <w:t>If the family or guardians need additional support understanding the process, ar</w:t>
      </w:r>
      <w:r w:rsidR="00F9616C">
        <w:t xml:space="preserve">e specialists able to meet with families in person? </w:t>
      </w:r>
    </w:p>
    <w:p w14:paraId="20515F90" w14:textId="15552743" w:rsidR="00F9616C" w:rsidRDefault="00F9616C" w:rsidP="00F9616C">
      <w:pPr>
        <w:pStyle w:val="ListParagraph"/>
        <w:numPr>
          <w:ilvl w:val="2"/>
          <w:numId w:val="9"/>
        </w:numPr>
      </w:pPr>
      <w:r>
        <w:t>Yes. It would also be encourage</w:t>
      </w:r>
      <w:r w:rsidR="00137AF9">
        <w:t>d that the referral source</w:t>
      </w:r>
      <w:r>
        <w:t xml:space="preserve"> </w:t>
      </w:r>
      <w:proofErr w:type="gramStart"/>
      <w:r>
        <w:t>participat</w:t>
      </w:r>
      <w:r w:rsidR="00137AF9">
        <w:t>e</w:t>
      </w:r>
      <w:proofErr w:type="gramEnd"/>
      <w:r>
        <w:t xml:space="preserve"> </w:t>
      </w:r>
      <w:r w:rsidR="00137AF9">
        <w:t xml:space="preserve">and assist in the application process if this would benefit the applicant and family. </w:t>
      </w:r>
      <w:r w:rsidR="00137AF9">
        <w:br/>
      </w:r>
    </w:p>
    <w:p w14:paraId="1734F7CF" w14:textId="014E69FB" w:rsidR="00F9616C" w:rsidRDefault="00F9616C" w:rsidP="00F9616C">
      <w:pPr>
        <w:pStyle w:val="ListParagraph"/>
        <w:numPr>
          <w:ilvl w:val="1"/>
          <w:numId w:val="9"/>
        </w:numPr>
      </w:pPr>
      <w:r>
        <w:t>Do</w:t>
      </w:r>
      <w:r w:rsidR="00137AF9">
        <w:t xml:space="preserve"> the applicant or parent/guardian</w:t>
      </w:r>
      <w:r>
        <w:t xml:space="preserve"> need part of the initial referral? </w:t>
      </w:r>
    </w:p>
    <w:p w14:paraId="00CF068A" w14:textId="3460D5B7" w:rsidR="00F9616C" w:rsidRDefault="00F9616C" w:rsidP="00F9616C">
      <w:pPr>
        <w:pStyle w:val="ListParagraph"/>
        <w:numPr>
          <w:ilvl w:val="2"/>
          <w:numId w:val="9"/>
        </w:numPr>
      </w:pPr>
      <w:r>
        <w:t>No, they don’t have to be part of the initial referral, but they do have to be part of the intake process</w:t>
      </w:r>
      <w:r w:rsidR="00137AF9">
        <w:t xml:space="preserve"> as services are voluntary.</w:t>
      </w:r>
      <w:r w:rsidR="00137AF9">
        <w:br/>
      </w:r>
    </w:p>
    <w:p w14:paraId="45B28784" w14:textId="636BA597" w:rsidR="00F9616C" w:rsidRDefault="00F9616C" w:rsidP="00F9616C">
      <w:pPr>
        <w:pStyle w:val="ListParagraph"/>
        <w:numPr>
          <w:ilvl w:val="1"/>
          <w:numId w:val="9"/>
        </w:numPr>
      </w:pPr>
      <w:r>
        <w:t xml:space="preserve">Who </w:t>
      </w:r>
      <w:proofErr w:type="gramStart"/>
      <w:r w:rsidR="00137AF9">
        <w:t>is able to</w:t>
      </w:r>
      <w:proofErr w:type="gramEnd"/>
      <w:r w:rsidR="00137AF9">
        <w:t xml:space="preserve"> conduct an updated adaptive functioning evaluation?  </w:t>
      </w:r>
    </w:p>
    <w:p w14:paraId="7F432B34" w14:textId="6135E8E3" w:rsidR="00F9616C" w:rsidRDefault="00137AF9" w:rsidP="00F9616C">
      <w:pPr>
        <w:pStyle w:val="ListParagraph"/>
        <w:numPr>
          <w:ilvl w:val="2"/>
          <w:numId w:val="9"/>
        </w:numPr>
      </w:pPr>
      <w:r>
        <w:t xml:space="preserve">This is typically done by a licensed professional such as a school clinician or licensed psychologist. Schools can arrange this, designated agencies. PCG also has contracts with individuals if this has not been done prior to applying. </w:t>
      </w:r>
      <w:r>
        <w:br/>
      </w:r>
    </w:p>
    <w:p w14:paraId="1BD2C103" w14:textId="77777777" w:rsidR="00F9616C" w:rsidRDefault="00F9616C" w:rsidP="00F9616C">
      <w:pPr>
        <w:pStyle w:val="ListParagraph"/>
        <w:numPr>
          <w:ilvl w:val="1"/>
          <w:numId w:val="9"/>
        </w:numPr>
      </w:pPr>
      <w:r>
        <w:t xml:space="preserve">How long is the process start to finish? </w:t>
      </w:r>
    </w:p>
    <w:p w14:paraId="56C06BCB" w14:textId="77777777" w:rsidR="00F9616C" w:rsidRDefault="00F9616C" w:rsidP="00F9616C">
      <w:pPr>
        <w:pStyle w:val="ListParagraph"/>
        <w:numPr>
          <w:ilvl w:val="2"/>
          <w:numId w:val="9"/>
        </w:numPr>
      </w:pPr>
      <w:r>
        <w:lastRenderedPageBreak/>
        <w:t xml:space="preserve">Hard to say, it really varies. </w:t>
      </w:r>
    </w:p>
    <w:p w14:paraId="59E11123" w14:textId="616AF689" w:rsidR="00425682" w:rsidRDefault="00F9616C" w:rsidP="00F9616C">
      <w:pPr>
        <w:pStyle w:val="ListParagraph"/>
        <w:numPr>
          <w:ilvl w:val="2"/>
          <w:numId w:val="9"/>
        </w:numPr>
      </w:pPr>
      <w:r>
        <w:t xml:space="preserve">It has been a quick as 2 weeks if all information is done and collected. That isn’t the typical. Could be as long as several months if starting from square one </w:t>
      </w:r>
      <w:r w:rsidR="009322A2">
        <w:t>with the</w:t>
      </w:r>
      <w:r>
        <w:t xml:space="preserve"> initial evaluations, etc. This process </w:t>
      </w:r>
      <w:r w:rsidR="00425682">
        <w:t>could be several months depending on availability of evaluat</w:t>
      </w:r>
      <w:r w:rsidR="009322A2">
        <w:t xml:space="preserve">or </w:t>
      </w:r>
      <w:r w:rsidR="00425682">
        <w:t>and record gathering</w:t>
      </w:r>
      <w:r w:rsidR="009322A2">
        <w:t>,</w:t>
      </w:r>
      <w:r w:rsidR="00425682">
        <w:t xml:space="preserve"> etc. </w:t>
      </w:r>
      <w:r w:rsidR="009322A2">
        <w:br/>
      </w:r>
    </w:p>
    <w:p w14:paraId="62DCF6CD" w14:textId="69BC4FE9" w:rsidR="00425682" w:rsidRDefault="00425682" w:rsidP="00425682">
      <w:pPr>
        <w:pStyle w:val="ListParagraph"/>
        <w:numPr>
          <w:ilvl w:val="1"/>
          <w:numId w:val="9"/>
        </w:numPr>
      </w:pPr>
      <w:r>
        <w:t>I</w:t>
      </w:r>
      <w:r w:rsidR="009322A2">
        <w:t>f</w:t>
      </w:r>
      <w:r>
        <w:t xml:space="preserve"> an older youth, 17 years old, isn’t interested, can parents proceed or does child have to be on board? </w:t>
      </w:r>
    </w:p>
    <w:p w14:paraId="1C60BB6F" w14:textId="0C154185" w:rsidR="00425682" w:rsidRDefault="00425682" w:rsidP="009322A2">
      <w:pPr>
        <w:pStyle w:val="ListParagraph"/>
        <w:numPr>
          <w:ilvl w:val="2"/>
          <w:numId w:val="9"/>
        </w:numPr>
      </w:pPr>
      <w:r>
        <w:t>Technically</w:t>
      </w:r>
      <w:r w:rsidR="009322A2">
        <w:t xml:space="preserve">, yes; </w:t>
      </w:r>
      <w:r>
        <w:t>parent/guardian can proceed w</w:t>
      </w:r>
      <w:r w:rsidR="009322A2">
        <w:t>ith</w:t>
      </w:r>
      <w:r>
        <w:t xml:space="preserve"> process. Though the question </w:t>
      </w:r>
      <w:r w:rsidR="009322A2">
        <w:t>remains</w:t>
      </w:r>
      <w:r>
        <w:t xml:space="preserve"> related to service delivery when individual turns 18</w:t>
      </w:r>
      <w:r w:rsidR="009322A2">
        <w:t xml:space="preserve"> as this is voluntary and </w:t>
      </w:r>
      <w:r>
        <w:t>would require further conversation</w:t>
      </w:r>
      <w:r w:rsidR="009322A2">
        <w:t xml:space="preserve">. </w:t>
      </w:r>
      <w:r>
        <w:br/>
      </w:r>
    </w:p>
    <w:p w14:paraId="3617C224" w14:textId="7F390E5A" w:rsidR="00F9616C" w:rsidRDefault="00425682" w:rsidP="009322A2">
      <w:pPr>
        <w:pStyle w:val="ListParagraph"/>
        <w:numPr>
          <w:ilvl w:val="1"/>
          <w:numId w:val="9"/>
        </w:numPr>
      </w:pPr>
      <w:r>
        <w:t>Vicky Whitehill</w:t>
      </w:r>
      <w:r w:rsidR="009322A2">
        <w:t>, Dept. Director of Children’s Services with NKHS</w:t>
      </w:r>
      <w:r>
        <w:t xml:space="preserve"> clarified</w:t>
      </w:r>
      <w:r w:rsidR="009322A2">
        <w:t xml:space="preserve"> that there are FMR funds outside of DS services, and that is managed by the local Designated Agencies, not PCG. Vicky also clarified that NKHS does not offer evaluation services.</w:t>
      </w:r>
      <w:r w:rsidR="00F9616C">
        <w:br/>
      </w:r>
    </w:p>
    <w:p w14:paraId="79FF4715" w14:textId="431125A6" w:rsidR="009322A2" w:rsidRPr="009322A2" w:rsidRDefault="009322A2" w:rsidP="009322A2">
      <w:pPr>
        <w:pStyle w:val="ListParagraph"/>
        <w:numPr>
          <w:ilvl w:val="0"/>
          <w:numId w:val="9"/>
        </w:numPr>
      </w:pPr>
      <w:r>
        <w:rPr>
          <w:b/>
          <w:bCs/>
        </w:rPr>
        <w:t xml:space="preserve">PCG Contact Information </w:t>
      </w:r>
    </w:p>
    <w:p w14:paraId="32F21CA4" w14:textId="77777777" w:rsidR="009322A2" w:rsidRDefault="009322A2" w:rsidP="009322A2">
      <w:pPr>
        <w:pStyle w:val="ListParagraph"/>
        <w:numPr>
          <w:ilvl w:val="1"/>
          <w:numId w:val="9"/>
        </w:numPr>
      </w:pPr>
      <w:r>
        <w:t xml:space="preserve">PCG’s Contact Information: </w:t>
      </w:r>
    </w:p>
    <w:p w14:paraId="38E83F2F" w14:textId="684A2471" w:rsidR="009322A2" w:rsidRDefault="009322A2" w:rsidP="009322A2">
      <w:pPr>
        <w:pStyle w:val="ListParagraph"/>
        <w:numPr>
          <w:ilvl w:val="2"/>
          <w:numId w:val="9"/>
        </w:numPr>
      </w:pPr>
      <w:r>
        <w:t>Phone: (833) 426-5668</w:t>
      </w:r>
      <w:r>
        <w:br/>
        <w:t xml:space="preserve">Email: </w:t>
      </w:r>
      <w:hyperlink r:id="rId9" w:history="1">
        <w:r w:rsidRPr="003764F6">
          <w:rPr>
            <w:rStyle w:val="Hyperlink"/>
          </w:rPr>
          <w:t>VTDDSIntake@pcgus.com</w:t>
        </w:r>
      </w:hyperlink>
      <w:r>
        <w:t xml:space="preserve"> </w:t>
      </w:r>
    </w:p>
    <w:p w14:paraId="5DF06C2D" w14:textId="024CE3F1" w:rsidR="009322A2" w:rsidRDefault="009322A2" w:rsidP="009322A2">
      <w:pPr>
        <w:pStyle w:val="ListParagraph"/>
        <w:numPr>
          <w:ilvl w:val="2"/>
          <w:numId w:val="9"/>
        </w:numPr>
      </w:pPr>
      <w:r>
        <w:t xml:space="preserve">PGC Website: </w:t>
      </w:r>
      <w:hyperlink r:id="rId10" w:history="1">
        <w:r w:rsidRPr="009322A2">
          <w:rPr>
            <w:rStyle w:val="Hyperlink"/>
          </w:rPr>
          <w:t>State Health Services | Medicaid Agency Services | PCG</w:t>
        </w:r>
      </w:hyperlink>
    </w:p>
    <w:p w14:paraId="18CC6C70" w14:textId="7568BC48" w:rsidR="009322A2" w:rsidRDefault="005C204C" w:rsidP="009322A2">
      <w:pPr>
        <w:pStyle w:val="ListParagraph"/>
        <w:numPr>
          <w:ilvl w:val="2"/>
          <w:numId w:val="9"/>
        </w:numPr>
      </w:pPr>
      <w:r>
        <w:t xml:space="preserve">Team is available M-F, 8:00-4:30 except for state holidays. All </w:t>
      </w:r>
      <w:r w:rsidR="009322A2">
        <w:t>inquiries received outside of operating hours will be returned on the next business day.</w:t>
      </w:r>
      <w:r w:rsidR="009322A2">
        <w:br/>
      </w:r>
    </w:p>
    <w:p w14:paraId="2C77153D" w14:textId="2FC78EFF" w:rsidR="00343968" w:rsidRDefault="00343968" w:rsidP="009322A2">
      <w:pPr>
        <w:pStyle w:val="ListParagraph"/>
        <w:numPr>
          <w:ilvl w:val="0"/>
          <w:numId w:val="9"/>
        </w:numPr>
      </w:pPr>
      <w:r>
        <w:t xml:space="preserve">Presentation PowerPoint: </w:t>
      </w:r>
    </w:p>
    <w:p w14:paraId="1016F4A7" w14:textId="22EC8F59" w:rsidR="00A90C4D" w:rsidRDefault="009322A2" w:rsidP="00343968">
      <w:pPr>
        <w:pStyle w:val="ListParagraph"/>
        <w:ind w:left="792"/>
      </w:pPr>
      <w:r>
        <w:br/>
      </w:r>
      <w:r w:rsidR="00343968">
        <w:object w:dxaOrig="1532" w:dyaOrig="991" w14:anchorId="23F5D7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1" o:title=""/>
          </v:shape>
          <o:OLEObject Type="Embed" ProgID="AcroExch.Document.DC" ShapeID="_x0000_i1025" DrawAspect="Icon" ObjectID="_1829392678" r:id="rId12"/>
        </w:object>
      </w:r>
    </w:p>
    <w:p w14:paraId="55457ABC" w14:textId="54F4CE6B" w:rsidR="00A90C4D" w:rsidRPr="00F32825" w:rsidRDefault="00A90C4D" w:rsidP="00A90C4D">
      <w:pPr>
        <w:ind w:left="0"/>
        <w:jc w:val="center"/>
        <w:rPr>
          <w:b/>
          <w:bCs/>
        </w:rPr>
      </w:pPr>
      <w:r w:rsidRPr="00F32825">
        <w:rPr>
          <w:b/>
          <w:bCs/>
          <w:sz w:val="24"/>
          <w:szCs w:val="24"/>
        </w:rPr>
        <w:t xml:space="preserve">THANK YOU TO THIS MONTH’S PRESENTERS! </w:t>
      </w:r>
    </w:p>
    <w:p w14:paraId="428D2A53" w14:textId="77777777" w:rsidR="00A90C4D" w:rsidRDefault="00A90C4D" w:rsidP="00A90C4D">
      <w:pPr>
        <w:ind w:left="0"/>
      </w:pPr>
    </w:p>
    <w:p w14:paraId="467D8253" w14:textId="3DC3E04D" w:rsidR="00A90C4D" w:rsidRDefault="00B73F57" w:rsidP="00A90C4D">
      <w:pPr>
        <w:ind w:left="0"/>
      </w:pPr>
      <w:r>
        <w:t>Sincerely,</w:t>
      </w:r>
    </w:p>
    <w:p w14:paraId="126EA803" w14:textId="48DE85DC" w:rsidR="00A90C4D" w:rsidRDefault="00A90C4D" w:rsidP="00A90C4D">
      <w:pPr>
        <w:textAlignment w:val="baseline"/>
        <w:rPr>
          <w:rFonts w:ascii="Segoe UI" w:hAnsi="Segoe UI" w:cs="Segoe UI"/>
          <w:spacing w:val="0"/>
          <w:sz w:val="18"/>
          <w:szCs w:val="18"/>
        </w:rPr>
      </w:pPr>
      <w:r>
        <w:rPr>
          <w:rFonts w:ascii="Palatino Linotype" w:hAnsi="Palatino Linotype"/>
          <w:b/>
          <w:bCs/>
          <w:sz w:val="20"/>
          <w:szCs w:val="20"/>
        </w:rPr>
        <w:t>Lauren Dillon</w:t>
      </w:r>
      <w:r w:rsidR="004949A1">
        <w:rPr>
          <w:rFonts w:ascii="Palatino Linotype" w:hAnsi="Palatino Linotype"/>
          <w:b/>
          <w:bCs/>
          <w:sz w:val="20"/>
          <w:szCs w:val="20"/>
        </w:rPr>
        <w:t>, VR Transition Counselor II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Segoe UI" w:hAnsi="Segoe UI" w:cs="Segoe UI"/>
          <w:sz w:val="18"/>
          <w:szCs w:val="18"/>
        </w:rPr>
        <w:br/>
      </w:r>
      <w:r>
        <w:rPr>
          <w:rFonts w:ascii="Palatino Linotype" w:hAnsi="Palatino Linotype"/>
          <w:sz w:val="20"/>
          <w:szCs w:val="20"/>
        </w:rPr>
        <w:t>HireAbility Vermont (formerly VocRehab) </w:t>
      </w:r>
      <w:r>
        <w:rPr>
          <w:rFonts w:ascii="Segoe UI" w:hAnsi="Segoe UI" w:cs="Segoe UI"/>
          <w:sz w:val="18"/>
          <w:szCs w:val="18"/>
        </w:rPr>
        <w:br/>
      </w:r>
      <w:r>
        <w:rPr>
          <w:rFonts w:ascii="Palatino Linotype" w:hAnsi="Palatino Linotype"/>
          <w:sz w:val="20"/>
          <w:szCs w:val="20"/>
        </w:rPr>
        <w:t>100 Main St., Suite 120 | Newport, VT 05855 </w:t>
      </w:r>
      <w:r w:rsidR="00891102">
        <w:rPr>
          <w:rFonts w:ascii="Palatino Linotype" w:hAnsi="Palatino Linotype"/>
          <w:sz w:val="20"/>
          <w:szCs w:val="20"/>
        </w:rPr>
        <w:br/>
        <w:t>www.HireAbilityVT.com|802-334-6794- Newport Office</w:t>
      </w:r>
      <w:r>
        <w:rPr>
          <w:rFonts w:ascii="Palatino Linotype" w:hAnsi="Palatino Linotype"/>
          <w:sz w:val="20"/>
          <w:szCs w:val="20"/>
        </w:rPr>
        <w:br/>
      </w:r>
      <w:r w:rsidR="00891102" w:rsidRPr="00891102">
        <w:rPr>
          <w:rFonts w:ascii="Palatino Linotype" w:hAnsi="Palatino Linotype"/>
          <w:sz w:val="20"/>
          <w:szCs w:val="20"/>
        </w:rPr>
        <w:t>Lauren.Dillon@vermont.gov|802-498-7</w:t>
      </w:r>
      <w:r w:rsidR="00F32825">
        <w:rPr>
          <w:rFonts w:ascii="Palatino Linotype" w:hAnsi="Palatino Linotype"/>
          <w:sz w:val="20"/>
          <w:szCs w:val="20"/>
        </w:rPr>
        <w:t>141</w:t>
      </w:r>
      <w:r w:rsidR="00891102" w:rsidRPr="00891102">
        <w:rPr>
          <w:rFonts w:ascii="Palatino Linotype" w:hAnsi="Palatino Linotype"/>
          <w:sz w:val="20"/>
          <w:szCs w:val="20"/>
        </w:rPr>
        <w:t>-Lauren’s</w:t>
      </w:r>
      <w:r w:rsidR="00891102">
        <w:rPr>
          <w:rFonts w:ascii="Palatino Linotype" w:hAnsi="Palatino Linotype"/>
          <w:sz w:val="20"/>
          <w:szCs w:val="20"/>
        </w:rPr>
        <w:t xml:space="preserve"> Cell</w:t>
      </w:r>
      <w:r w:rsidR="00891102">
        <w:rPr>
          <w:rFonts w:ascii="Palatino Linotype" w:hAnsi="Palatino Linotype"/>
          <w:sz w:val="20"/>
          <w:szCs w:val="20"/>
        </w:rPr>
        <w:br/>
      </w:r>
    </w:p>
    <w:p w14:paraId="3A302460" w14:textId="62E8A009" w:rsidR="00A90C4D" w:rsidRDefault="00A90C4D" w:rsidP="00A90C4D">
      <w:pPr>
        <w:rPr>
          <w:rFonts w:ascii="Segoe UI" w:hAnsi="Segoe UI" w:cs="Segoe UI"/>
          <w:color w:val="000000"/>
          <w:sz w:val="18"/>
          <w:szCs w:val="18"/>
          <w14:ligatures w14:val="standardContextual"/>
        </w:rPr>
      </w:pPr>
    </w:p>
    <w:p w14:paraId="00786B3E" w14:textId="41EEC168" w:rsidR="00A90C4D" w:rsidRDefault="00891102" w:rsidP="00A90C4D">
      <w:pPr>
        <w:ind w:left="0"/>
      </w:pPr>
      <w:r>
        <w:rPr>
          <w:rFonts w:ascii="Segoe UI" w:hAnsi="Segoe UI" w:cs="Segoe UI"/>
          <w:noProof/>
          <w:sz w:val="18"/>
          <w:szCs w:val="18"/>
        </w:rPr>
        <w:t xml:space="preserve">                  </w:t>
      </w:r>
      <w:r w:rsidR="00A90C4D"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627D2C9F" wp14:editId="528E37DF">
            <wp:extent cx="1518250" cy="759126"/>
            <wp:effectExtent l="0" t="0" r="6350" b="3175"/>
            <wp:docPr id="67713877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3877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874" cy="77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102">
        <w:t xml:space="preserve"> </w:t>
      </w:r>
    </w:p>
    <w:sectPr w:rsidR="00A90C4D" w:rsidSect="00CB50F2">
      <w:footerReference w:type="default" r:id="rId15"/>
      <w:pgSz w:w="12240" w:h="15840"/>
      <w:pgMar w:top="720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114C" w14:textId="77777777" w:rsidR="00D84139" w:rsidRDefault="00D84139">
      <w:pPr>
        <w:spacing w:before="0" w:after="0"/>
      </w:pPr>
      <w:r>
        <w:separator/>
      </w:r>
    </w:p>
  </w:endnote>
  <w:endnote w:type="continuationSeparator" w:id="0">
    <w:p w14:paraId="51A09185" w14:textId="77777777" w:rsidR="00D84139" w:rsidRDefault="00D841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EE19" w14:textId="77777777" w:rsidR="00627E36" w:rsidRDefault="002834F4" w:rsidP="00CB50F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CDFD" w14:textId="77777777" w:rsidR="00D84139" w:rsidRDefault="00D84139">
      <w:pPr>
        <w:spacing w:before="0" w:after="0"/>
      </w:pPr>
      <w:r>
        <w:separator/>
      </w:r>
    </w:p>
  </w:footnote>
  <w:footnote w:type="continuationSeparator" w:id="0">
    <w:p w14:paraId="686168C8" w14:textId="77777777" w:rsidR="00D84139" w:rsidRDefault="00D8413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4BE9"/>
    <w:multiLevelType w:val="hybridMultilevel"/>
    <w:tmpl w:val="F72ABA4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C830324"/>
    <w:multiLevelType w:val="hybridMultilevel"/>
    <w:tmpl w:val="6FCC83A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D184806"/>
    <w:multiLevelType w:val="hybridMultilevel"/>
    <w:tmpl w:val="A4C812C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D2E68F7"/>
    <w:multiLevelType w:val="hybridMultilevel"/>
    <w:tmpl w:val="131208D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D44561D"/>
    <w:multiLevelType w:val="hybridMultilevel"/>
    <w:tmpl w:val="5A7A754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209C81FC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56A38B9"/>
    <w:multiLevelType w:val="hybridMultilevel"/>
    <w:tmpl w:val="AAFA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E6F0C"/>
    <w:multiLevelType w:val="hybridMultilevel"/>
    <w:tmpl w:val="BC8CCA1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5BE2351C"/>
    <w:multiLevelType w:val="hybridMultilevel"/>
    <w:tmpl w:val="A7201750"/>
    <w:lvl w:ilvl="0" w:tplc="3CA031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0766EB"/>
    <w:multiLevelType w:val="hybridMultilevel"/>
    <w:tmpl w:val="27C0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756425">
    <w:abstractNumId w:val="4"/>
  </w:num>
  <w:num w:numId="2" w16cid:durableId="835657757">
    <w:abstractNumId w:val="7"/>
  </w:num>
  <w:num w:numId="3" w16cid:durableId="582682892">
    <w:abstractNumId w:val="6"/>
  </w:num>
  <w:num w:numId="4" w16cid:durableId="1082021630">
    <w:abstractNumId w:val="0"/>
  </w:num>
  <w:num w:numId="5" w16cid:durableId="239875670">
    <w:abstractNumId w:val="3"/>
  </w:num>
  <w:num w:numId="6" w16cid:durableId="1623196140">
    <w:abstractNumId w:val="8"/>
  </w:num>
  <w:num w:numId="7" w16cid:durableId="218713428">
    <w:abstractNumId w:val="5"/>
  </w:num>
  <w:num w:numId="8" w16cid:durableId="1733381929">
    <w:abstractNumId w:val="1"/>
  </w:num>
  <w:num w:numId="9" w16cid:durableId="29040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9B"/>
    <w:rsid w:val="00040C9D"/>
    <w:rsid w:val="00061EE4"/>
    <w:rsid w:val="00100063"/>
    <w:rsid w:val="00137AF9"/>
    <w:rsid w:val="0017718F"/>
    <w:rsid w:val="001F5F37"/>
    <w:rsid w:val="00215EBE"/>
    <w:rsid w:val="002834F4"/>
    <w:rsid w:val="002A7A62"/>
    <w:rsid w:val="002E5E87"/>
    <w:rsid w:val="00315C0B"/>
    <w:rsid w:val="00343968"/>
    <w:rsid w:val="00385A7A"/>
    <w:rsid w:val="003D21D2"/>
    <w:rsid w:val="003E4832"/>
    <w:rsid w:val="003E75A0"/>
    <w:rsid w:val="003F6F9B"/>
    <w:rsid w:val="00411915"/>
    <w:rsid w:val="00425682"/>
    <w:rsid w:val="004453F0"/>
    <w:rsid w:val="00445B20"/>
    <w:rsid w:val="0044620A"/>
    <w:rsid w:val="004720EC"/>
    <w:rsid w:val="004949A1"/>
    <w:rsid w:val="004B6E04"/>
    <w:rsid w:val="004E6012"/>
    <w:rsid w:val="00564E07"/>
    <w:rsid w:val="005A5DDD"/>
    <w:rsid w:val="005C204C"/>
    <w:rsid w:val="005E4428"/>
    <w:rsid w:val="00627E36"/>
    <w:rsid w:val="00667941"/>
    <w:rsid w:val="00670C02"/>
    <w:rsid w:val="00700FDE"/>
    <w:rsid w:val="00745902"/>
    <w:rsid w:val="007B42D0"/>
    <w:rsid w:val="007D1058"/>
    <w:rsid w:val="008145E4"/>
    <w:rsid w:val="00891102"/>
    <w:rsid w:val="00894C3D"/>
    <w:rsid w:val="00895300"/>
    <w:rsid w:val="009322A2"/>
    <w:rsid w:val="00937605"/>
    <w:rsid w:val="009429F2"/>
    <w:rsid w:val="00944DE3"/>
    <w:rsid w:val="00975A9B"/>
    <w:rsid w:val="009D4ED8"/>
    <w:rsid w:val="009D4EF3"/>
    <w:rsid w:val="00A123B2"/>
    <w:rsid w:val="00A217E6"/>
    <w:rsid w:val="00A90C4D"/>
    <w:rsid w:val="00AD3F55"/>
    <w:rsid w:val="00B57391"/>
    <w:rsid w:val="00B73F57"/>
    <w:rsid w:val="00B777BC"/>
    <w:rsid w:val="00BB7ACA"/>
    <w:rsid w:val="00BC4709"/>
    <w:rsid w:val="00BD57A1"/>
    <w:rsid w:val="00C12437"/>
    <w:rsid w:val="00C2332B"/>
    <w:rsid w:val="00C60298"/>
    <w:rsid w:val="00CC690A"/>
    <w:rsid w:val="00CF35AE"/>
    <w:rsid w:val="00D2528C"/>
    <w:rsid w:val="00D84139"/>
    <w:rsid w:val="00DD55A9"/>
    <w:rsid w:val="00DF04D7"/>
    <w:rsid w:val="00DF45F9"/>
    <w:rsid w:val="00E26C26"/>
    <w:rsid w:val="00EA00DF"/>
    <w:rsid w:val="00EE01EF"/>
    <w:rsid w:val="00EE6CC5"/>
    <w:rsid w:val="00F32825"/>
    <w:rsid w:val="00F542D5"/>
    <w:rsid w:val="00F807A3"/>
    <w:rsid w:val="00F9616C"/>
    <w:rsid w:val="00F96D3A"/>
    <w:rsid w:val="00F97C88"/>
    <w:rsid w:val="00FA1864"/>
    <w:rsid w:val="00FA6527"/>
    <w:rsid w:val="00F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5892EA"/>
  <w15:chartTrackingRefBased/>
  <w15:docId w15:val="{1457D423-2473-4BAD-8C50-48CAC00F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A9B"/>
    <w:pPr>
      <w:spacing w:before="120" w:after="40" w:line="240" w:lineRule="auto"/>
      <w:ind w:left="72"/>
    </w:pPr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9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A5A5A5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975A9B"/>
    <w:pPr>
      <w:keepNext/>
      <w:keepLines/>
      <w:pBdr>
        <w:top w:val="single" w:sz="4" w:space="1" w:color="A5A5A5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ED7D31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975A9B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spacing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A9B"/>
    <w:rPr>
      <w:rFonts w:asciiTheme="majorHAnsi" w:eastAsiaTheme="majorEastAsia" w:hAnsiTheme="majorHAnsi" w:cstheme="majorBidi"/>
      <w:b/>
      <w:bCs/>
      <w:caps/>
      <w:color w:val="A5A5A5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75A9B"/>
    <w:rPr>
      <w:rFonts w:asciiTheme="majorHAnsi" w:eastAsiaTheme="majorEastAsia" w:hAnsiTheme="majorHAnsi" w:cstheme="majorBidi"/>
      <w:bCs/>
      <w:color w:val="ED7D31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75A9B"/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table" w:customStyle="1" w:styleId="Meetingminutes">
    <w:name w:val="Meeting minutes"/>
    <w:basedOn w:val="TableNormal"/>
    <w:uiPriority w:val="99"/>
    <w:rsid w:val="00975A9B"/>
    <w:pPr>
      <w:spacing w:before="120" w:after="40" w:line="240" w:lineRule="auto"/>
      <w:ind w:left="72"/>
    </w:pPr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2F549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A5A5A5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975A9B"/>
    <w:rPr>
      <w:caps/>
      <w:smallCaps w:val="0"/>
      <w:color w:val="ED7D31" w:themeColor="accent2"/>
    </w:rPr>
  </w:style>
  <w:style w:type="paragraph" w:styleId="Footer">
    <w:name w:val="footer"/>
    <w:basedOn w:val="Normal"/>
    <w:link w:val="FooterChar"/>
    <w:uiPriority w:val="99"/>
    <w:unhideWhenUsed/>
    <w:rsid w:val="00975A9B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975A9B"/>
    <w:rPr>
      <w:rFonts w:eastAsiaTheme="minorEastAsia"/>
      <w:szCs w:val="21"/>
      <w:lang w:eastAsia="ja-JP"/>
    </w:rPr>
  </w:style>
  <w:style w:type="character" w:styleId="SubtleEmphasis">
    <w:name w:val="Subtle Emphasis"/>
    <w:basedOn w:val="DefaultParagraphFont"/>
    <w:uiPriority w:val="10"/>
    <w:qFormat/>
    <w:rsid w:val="00975A9B"/>
    <w:rPr>
      <w:i/>
      <w:iCs/>
      <w:color w:val="auto"/>
    </w:rPr>
  </w:style>
  <w:style w:type="paragraph" w:styleId="Title">
    <w:name w:val="Title"/>
    <w:basedOn w:val="Normal"/>
    <w:link w:val="TitleChar"/>
    <w:uiPriority w:val="1"/>
    <w:qFormat/>
    <w:rsid w:val="00975A9B"/>
    <w:pPr>
      <w:contextualSpacing/>
    </w:pPr>
    <w:rPr>
      <w:rFonts w:asciiTheme="majorHAnsi" w:eastAsiaTheme="majorEastAsia" w:hAnsiTheme="majorHAnsi" w:cstheme="majorBidi"/>
      <w:color w:val="ED7D31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975A9B"/>
    <w:rPr>
      <w:rFonts w:asciiTheme="majorHAnsi" w:eastAsiaTheme="majorEastAsia" w:hAnsiTheme="majorHAnsi" w:cstheme="majorBidi"/>
      <w:color w:val="ED7D31" w:themeColor="accent2"/>
      <w:sz w:val="50"/>
      <w:szCs w:val="50"/>
      <w:lang w:eastAsia="ja-JP"/>
    </w:rPr>
  </w:style>
  <w:style w:type="paragraph" w:styleId="ListParagraph">
    <w:name w:val="List Paragraph"/>
    <w:basedOn w:val="Normal"/>
    <w:uiPriority w:val="34"/>
    <w:qFormat/>
    <w:rsid w:val="005E44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9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sd.vermont.gov/eligibility-criteria-dd-services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ublicconsultinggroup.com/industry-solutions/health/state-health-and-medicaid-services/assessments-with-public-consulting-group-pc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TDDSIntake@pcgus.com" TargetMode="External"/><Relationship Id="rId14" Type="http://schemas.openxmlformats.org/officeDocument/2006/relationships/image" Target="cid:image001.jpg@01D9F222.8649978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B1401A0454FCDBC79D99CF5F3B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7442B-EC66-4563-A063-F8E43554D4DE}"/>
      </w:docPartPr>
      <w:docPartBody>
        <w:p w:rsidR="00357FDB" w:rsidRDefault="00646C29" w:rsidP="00646C29">
          <w:pPr>
            <w:pStyle w:val="E9DB1401A0454FCDBC79D99CF5F3BB80"/>
          </w:pPr>
          <w:r>
            <w:rPr>
              <w:rStyle w:val="SubtleEmphasis"/>
            </w:rPr>
            <w:t>Location</w:t>
          </w:r>
        </w:p>
      </w:docPartBody>
    </w:docPart>
    <w:docPart>
      <w:docPartPr>
        <w:name w:val="3A25AA34220345AA98A9F8A015D25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7A800-6EA7-450F-9E0F-470A3ED7F725}"/>
      </w:docPartPr>
      <w:docPartBody>
        <w:p w:rsidR="00357FDB" w:rsidRDefault="00646C29" w:rsidP="00646C29">
          <w:pPr>
            <w:pStyle w:val="3A25AA34220345AA98A9F8A015D25DD9"/>
          </w:pPr>
          <w:r w:rsidRPr="00A979E1">
            <w:t>Type of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29"/>
    <w:rsid w:val="002C3BD7"/>
    <w:rsid w:val="00357FDB"/>
    <w:rsid w:val="00646C29"/>
    <w:rsid w:val="00700FDE"/>
    <w:rsid w:val="00745902"/>
    <w:rsid w:val="007604C5"/>
    <w:rsid w:val="007B42D0"/>
    <w:rsid w:val="009429F2"/>
    <w:rsid w:val="00A25E3D"/>
    <w:rsid w:val="00A664CB"/>
    <w:rsid w:val="00AC2F7B"/>
    <w:rsid w:val="00B958AD"/>
    <w:rsid w:val="00C17882"/>
    <w:rsid w:val="00C24426"/>
    <w:rsid w:val="00C645B2"/>
    <w:rsid w:val="00E8555A"/>
    <w:rsid w:val="00F807A3"/>
    <w:rsid w:val="00F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2"/>
    <w:qFormat/>
    <w:rsid w:val="00646C29"/>
    <w:rPr>
      <w:caps/>
      <w:smallCaps w:val="0"/>
      <w:color w:val="E97132" w:themeColor="accent2"/>
    </w:rPr>
  </w:style>
  <w:style w:type="character" w:styleId="SubtleEmphasis">
    <w:name w:val="Subtle Emphasis"/>
    <w:basedOn w:val="DefaultParagraphFont"/>
    <w:uiPriority w:val="10"/>
    <w:qFormat/>
    <w:rsid w:val="00646C29"/>
    <w:rPr>
      <w:i/>
      <w:iCs/>
      <w:color w:val="auto"/>
    </w:rPr>
  </w:style>
  <w:style w:type="paragraph" w:customStyle="1" w:styleId="E9DB1401A0454FCDBC79D99CF5F3BB80">
    <w:name w:val="E9DB1401A0454FCDBC79D99CF5F3BB80"/>
    <w:rsid w:val="00646C29"/>
  </w:style>
  <w:style w:type="paragraph" w:customStyle="1" w:styleId="3A25AA34220345AA98A9F8A015D25DD9">
    <w:name w:val="3A25AA34220345AA98A9F8A015D25DD9"/>
    <w:rsid w:val="00646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Shatney, Tara</dc:creator>
  <cp:keywords/>
  <dc:description/>
  <cp:lastModifiedBy>Krista Siringo</cp:lastModifiedBy>
  <cp:revision>3</cp:revision>
  <dcterms:created xsi:type="dcterms:W3CDTF">2026-01-08T20:48:00Z</dcterms:created>
  <dcterms:modified xsi:type="dcterms:W3CDTF">2026-01-08T20:52:00Z</dcterms:modified>
</cp:coreProperties>
</file>